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de sensibilisation et de formation en sécurité</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de sensibilisation et de formation en sécurité</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veille à ce que le personnel reçoive une sensibilisation à la sécurité et une formation adaptée à ses rôles et à ses fonctions, afin de reconnaître et de contrer les menaces et de bien protéger l'information contrôlée non classifiée (CUI). Les personnes sont une première ligne de défense; un personnel informé prévient et signale les incidents. Cette politique définit la formation de sensibilisation, la formation propre aux rôles et le suivi.</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employés, sous-traitants et tiers ayant accès aux systèmes visés ou aux CUI.</w:t>
      </w:r>
    </w:p>
    <w:p>
      <w:pPr>
        <w:ind w:left="360"/>
      </w:pPr>
      <w:r>
        <w:rPr>
          <w:rFonts w:ascii="Arial" w:hAnsi="Arial"/>
          <w:sz w:val="21"/>
        </w:rPr>
        <w:t>•  La formation de sensibilisation à l'entrée en fonction et à intervalles récurrents, ainsi que la formation propre aux rôles.</w:t>
      </w:r>
    </w:p>
    <w:p>
      <w:pPr>
        <w:ind w:left="360"/>
      </w:pPr>
      <w:r>
        <w:rPr>
          <w:rFonts w:ascii="Arial" w:hAnsi="Arial"/>
          <w:sz w:val="21"/>
        </w:rPr>
        <w:t>•  Le suivi des achèvements de formation.</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Formation de sensibilisation: </w:t>
      </w:r>
      <w:r>
        <w:rPr>
          <w:rFonts w:ascii="Arial" w:hAnsi="Arial"/>
          <w:sz w:val="21"/>
        </w:rPr>
        <w:t>Formation générale aidant tous les utilisateurs à reconnaître et éviter les menaces courantes (p. ex. hameçonnage).</w:t>
      </w:r>
    </w:p>
    <w:p>
      <w:r>
        <w:rPr>
          <w:rFonts w:ascii="Arial" w:hAnsi="Arial"/>
          <w:b/>
          <w:sz w:val="21"/>
        </w:rPr>
        <w:t xml:space="preserve">Formation propre aux rôles: </w:t>
      </w:r>
      <w:r>
        <w:rPr>
          <w:rFonts w:ascii="Arial" w:hAnsi="Arial"/>
          <w:sz w:val="21"/>
        </w:rPr>
        <w:t>Formation adaptée aux responsabilités de sécurité d'un rôle précis (p. ex. administrateurs, développeurs).</w:t>
      </w:r>
    </w:p>
    <w:p>
      <w:r>
        <w:rPr>
          <w:rFonts w:ascii="Arial" w:hAnsi="Arial"/>
          <w:b/>
          <w:sz w:val="21"/>
        </w:rPr>
        <w:t xml:space="preserve">Simulation d'hameçonnage: </w:t>
      </w:r>
      <w:r>
        <w:rPr>
          <w:rFonts w:ascii="Arial" w:hAnsi="Arial"/>
          <w:sz w:val="21"/>
        </w:rPr>
        <w:t>Un exercice contrôlé qui teste la capacité des utilisateurs à reconnaître l'hameçonnage.</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définir le contenu et la cadence; suivre les achèvements; produire les indicateurs.</w:t>
            </w:r>
          </w:p>
        </w:tc>
      </w:tr>
      <w:tr>
        <w:tc>
          <w:tcPr>
            <w:tcW w:type="dxa" w:w="5040"/>
          </w:tcPr>
          <w:p>
            <w:r/>
            <w:r>
              <w:rPr>
                <w:rFonts w:ascii="Arial" w:hAnsi="Arial"/>
                <w:b w:val="0"/>
                <w:sz w:val="20"/>
              </w:rPr>
              <w:t>[Ressources humaines]</w:t>
            </w:r>
          </w:p>
        </w:tc>
        <w:tc>
          <w:tcPr>
            <w:tcW w:type="dxa" w:w="5040"/>
          </w:tcPr>
          <w:p>
            <w:r/>
            <w:r>
              <w:rPr>
                <w:rFonts w:ascii="Arial" w:hAnsi="Arial"/>
                <w:b w:val="0"/>
                <w:sz w:val="20"/>
              </w:rPr>
              <w:t>Assigner la formation à l'entrée en fonction; soutenir le suivi et les relances.</w:t>
            </w:r>
          </w:p>
        </w:tc>
      </w:tr>
      <w:tr>
        <w:tc>
          <w:tcPr>
            <w:tcW w:type="dxa" w:w="5040"/>
          </w:tcPr>
          <w:p>
            <w:r/>
            <w:r>
              <w:rPr>
                <w:rFonts w:ascii="Arial" w:hAnsi="Arial"/>
                <w:b w:val="0"/>
                <w:sz w:val="20"/>
              </w:rPr>
              <w:t>[Gestionnaire de service / Superviseur]</w:t>
            </w:r>
          </w:p>
        </w:tc>
        <w:tc>
          <w:tcPr>
            <w:tcW w:type="dxa" w:w="5040"/>
          </w:tcPr>
          <w:p>
            <w:r/>
            <w:r>
              <w:rPr>
                <w:rFonts w:ascii="Arial" w:hAnsi="Arial"/>
                <w:b w:val="0"/>
                <w:sz w:val="20"/>
              </w:rPr>
              <w:t>Veiller à ce que leur équipe complète la formation requise.</w:t>
            </w:r>
          </w:p>
        </w:tc>
      </w:tr>
      <w:tr>
        <w:tc>
          <w:tcPr>
            <w:tcW w:type="dxa" w:w="5040"/>
          </w:tcPr>
          <w:p>
            <w:r/>
            <w:r>
              <w:rPr>
                <w:rFonts w:ascii="Arial" w:hAnsi="Arial"/>
                <w:b w:val="0"/>
                <w:sz w:val="20"/>
              </w:rPr>
              <w:t>Tous les utilisateurs</w:t>
            </w:r>
          </w:p>
        </w:tc>
        <w:tc>
          <w:tcPr>
            <w:tcW w:type="dxa" w:w="5040"/>
          </w:tcPr>
          <w:p>
            <w:r/>
            <w:r>
              <w:rPr>
                <w:rFonts w:ascii="Arial" w:hAnsi="Arial"/>
                <w:b w:val="0"/>
                <w:sz w:val="20"/>
              </w:rPr>
              <w:t>Compléter la formation assignée; l'appliquer; signaler les menaces soupçonnées.</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renforcer une culture de sécurité.</w:t>
            </w:r>
          </w:p>
        </w:tc>
      </w:tr>
    </w:tbl>
    <w:p/>
    <w:p>
      <w:pPr>
        <w:spacing w:before="200" w:after="80"/>
      </w:pPr>
      <w:r>
        <w:rPr>
          <w:rFonts w:ascii="Arial" w:hAnsi="Arial"/>
          <w:b/>
          <w:color w:val="2E5FA3"/>
          <w:sz w:val="26"/>
        </w:rPr>
        <w:t>5.  Énoncés de politique</w:t>
      </w:r>
    </w:p>
    <w:p>
      <w:r>
        <w:rPr>
          <w:rFonts w:ascii="Arial" w:hAnsi="Arial"/>
          <w:b/>
          <w:color w:val="2E5FA3"/>
          <w:sz w:val="21"/>
        </w:rPr>
        <w:t>PS-1  Formation de sensibilisation à la sécurité</w:t>
      </w:r>
    </w:p>
    <w:p>
      <w:r>
        <w:rPr>
          <w:rFonts w:ascii="Arial" w:hAnsi="Arial"/>
          <w:sz w:val="21"/>
        </w:rPr>
        <w:t>Tous les utilisateurs doivent suivre une formation de sensibilisation à l'entrée en fonction et au moins [défini par l'organisation : annuellement; recommandé : annuellement], couvrant la reconnaissance de l'hameçonnage, l'ingénierie sociale et la bonne manipulation des CUI.</w:t>
      </w:r>
    </w:p>
    <w:p>
      <w:r>
        <w:rPr>
          <w:rFonts w:ascii="Arial" w:hAnsi="Arial"/>
          <w:b/>
          <w:color w:val="2E5FA3"/>
          <w:sz w:val="21"/>
        </w:rPr>
        <w:t>PS-2  Sensibilisation continue et simulation d'hameçonnage</w:t>
      </w:r>
    </w:p>
    <w:p>
      <w:r>
        <w:rPr>
          <w:rFonts w:ascii="Arial" w:hAnsi="Arial"/>
          <w:sz w:val="21"/>
        </w:rPr>
        <w:t>L'organisation doit renforcer la sensibilisation par des communications périodiques et des simulations d'hameçonnage, et utiliser les résultats pour cibler une formation additionnelle.</w:t>
      </w:r>
    </w:p>
    <w:p>
      <w:r>
        <w:rPr>
          <w:rFonts w:ascii="Arial" w:hAnsi="Arial"/>
          <w:b/>
          <w:color w:val="2E5FA3"/>
          <w:sz w:val="21"/>
        </w:rPr>
        <w:t>PS-3  Formation propre aux rôles</w:t>
      </w:r>
    </w:p>
    <w:p>
      <w:r>
        <w:rPr>
          <w:rFonts w:ascii="Arial" w:hAnsi="Arial"/>
          <w:sz w:val="21"/>
        </w:rPr>
        <w:t>Le personnel ayant des responsabilités de sécurité importantes (p. ex. administrateurs, développeurs, intervenants en incident, personnes manipulant des CUI) doit recevoir une formation propre à son rôle avant ou peu après l'assumer, puis périodiquement.</w:t>
      </w:r>
    </w:p>
    <w:p>
      <w:r>
        <w:rPr>
          <w:rFonts w:ascii="Arial" w:hAnsi="Arial"/>
          <w:b/>
          <w:color w:val="2E5FA3"/>
          <w:sz w:val="21"/>
        </w:rPr>
        <w:t>PS-4  Formation sur les politiques et la manipulation des CUI</w:t>
      </w:r>
    </w:p>
    <w:p>
      <w:r>
        <w:rPr>
          <w:rFonts w:ascii="Arial" w:hAnsi="Arial"/>
          <w:sz w:val="21"/>
        </w:rPr>
        <w:t>La formation doit couvrir les politiques de sécurité de l'organisation, l'usage acceptable et les exigences précises de manipulation des CUI.</w:t>
      </w:r>
    </w:p>
    <w:p>
      <w:r>
        <w:rPr>
          <w:rFonts w:ascii="Arial" w:hAnsi="Arial"/>
          <w:b/>
          <w:color w:val="2E5FA3"/>
          <w:sz w:val="21"/>
        </w:rPr>
        <w:t>PS-5  Suivi des achèvements</w:t>
      </w:r>
    </w:p>
    <w:p>
      <w:r>
        <w:rPr>
          <w:rFonts w:ascii="Arial" w:hAnsi="Arial"/>
          <w:sz w:val="21"/>
        </w:rPr>
        <w:t>L'achèvement de la formation doit être suivi, et le non-achèvement faire l'objet de relances; les registres doivent être conservés à titre de preuve.</w:t>
      </w:r>
    </w:p>
    <w:p>
      <w:pPr>
        <w:spacing w:before="200" w:after="80"/>
      </w:pPr>
      <w:r>
        <w:rPr>
          <w:rFonts w:ascii="Arial" w:hAnsi="Arial"/>
          <w:b/>
          <w:color w:val="2E5FA3"/>
          <w:sz w:val="26"/>
        </w:rPr>
        <w:t>6.  Procédures et preuves d'audit</w:t>
      </w:r>
    </w:p>
    <w:p>
      <w:r>
        <w:rPr>
          <w:rFonts w:ascii="Arial" w:hAnsi="Arial"/>
          <w:sz w:val="21"/>
        </w:rPr>
        <w:t>6.1  Offrir et suivre</w:t>
      </w:r>
    </w:p>
    <w:p>
      <w:pPr>
        <w:ind w:left="360"/>
      </w:pPr>
      <w:r>
        <w:rPr>
          <w:rFonts w:ascii="Arial" w:hAnsi="Arial"/>
          <w:sz w:val="21"/>
        </w:rPr>
        <w:t>•  Assigner la formation de sensibilisation à l'entrée en fonction et annuellement; offrir la formation propre aux rôles au personnel concerné.</w:t>
      </w:r>
    </w:p>
    <w:p>
      <w:pPr>
        <w:ind w:left="360"/>
      </w:pPr>
      <w:r>
        <w:rPr>
          <w:rFonts w:ascii="Arial" w:hAnsi="Arial"/>
          <w:sz w:val="21"/>
        </w:rPr>
        <w:t>•  Mener des simulations d'hameçonnage; suivre les achèvements et relancer les lacunes.</w:t>
      </w:r>
    </w:p>
    <w:p>
      <w:r>
        <w:rPr>
          <w:rFonts w:ascii="Arial" w:hAnsi="Arial"/>
          <w:b/>
          <w:sz w:val="21"/>
        </w:rPr>
        <w:t xml:space="preserve">Preuves d'audit : </w:t>
      </w:r>
      <w:r>
        <w:rPr>
          <w:rFonts w:ascii="Arial" w:hAnsi="Arial"/>
          <w:sz w:val="21"/>
        </w:rPr>
        <w:t>Assignations et registres d'achèvement; résultats des simulations d'hameçonnage; registres de formation propre aux rôles.</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la formation de sensibilisation est complétée à l'entrée en fonction et annuellement, que la formation propre aux rôles est offerte et que les achèvements sont suivis.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de sécurité du personnel — entrée en fonction déclenchant la formation.</w:t>
      </w:r>
    </w:p>
    <w:p>
      <w:pPr>
        <w:ind w:left="360"/>
      </w:pPr>
      <w:r>
        <w:rPr>
          <w:rFonts w:ascii="Arial" w:hAnsi="Arial"/>
          <w:sz w:val="21"/>
        </w:rPr>
        <w:t>•  Politique de contrôle d'accès — formation complétée avant l'accès aux CUI.</w:t>
      </w:r>
    </w:p>
    <w:p>
      <w:pPr>
        <w:ind w:left="360"/>
      </w:pPr>
      <w:r>
        <w:rPr>
          <w:rFonts w:ascii="Arial" w:hAnsi="Arial"/>
          <w:sz w:val="21"/>
        </w:rPr>
        <w:t>•  Politique et plan de réponse aux incidents — comment signaler les incidents.</w:t>
      </w:r>
    </w:p>
    <w:p>
      <w:pPr>
        <w:ind w:left="360"/>
      </w:pPr>
      <w:r>
        <w:rPr>
          <w:rFonts w:ascii="Arial" w:hAnsi="Arial"/>
          <w:sz w:val="21"/>
        </w:rPr>
        <w:t>•  Plan de sécurité du système (SSP) — rôles exigeant une formation propre aux rôles.</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03.02);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03.02.01  Littératie et sensibilisation</w:t>
            </w:r>
          </w:p>
        </w:tc>
        <w:tc>
          <w:tcPr>
            <w:tcW w:type="dxa" w:w="3360"/>
          </w:tcPr>
          <w:p>
            <w:r/>
            <w:r>
              <w:rPr>
                <w:rFonts w:ascii="Arial" w:hAnsi="Arial"/>
                <w:b w:val="0"/>
                <w:sz w:val="20"/>
              </w:rPr>
              <w:t>PS-1, PS-2, PS-4 — sensibilisation; hameçonnage; politiques/CUI</w:t>
            </w:r>
          </w:p>
        </w:tc>
        <w:tc>
          <w:tcPr>
            <w:tcW w:type="dxa" w:w="3360"/>
          </w:tcPr>
          <w:p>
            <w:r/>
            <w:r>
              <w:rPr>
                <w:rFonts w:ascii="Arial" w:hAnsi="Arial"/>
                <w:b w:val="0"/>
                <w:sz w:val="20"/>
              </w:rPr>
              <w:t>Registres de sensibilisation; résultats de simulations</w:t>
            </w:r>
          </w:p>
        </w:tc>
      </w:tr>
      <w:tr>
        <w:tc>
          <w:tcPr>
            <w:tcW w:type="dxa" w:w="3360"/>
          </w:tcPr>
          <w:p>
            <w:r/>
            <w:r>
              <w:rPr>
                <w:rFonts w:ascii="Arial" w:hAnsi="Arial"/>
                <w:b w:val="0"/>
                <w:sz w:val="20"/>
              </w:rPr>
              <w:t>03.02.02  Formation propre aux rôles</w:t>
            </w:r>
          </w:p>
        </w:tc>
        <w:tc>
          <w:tcPr>
            <w:tcW w:type="dxa" w:w="3360"/>
          </w:tcPr>
          <w:p>
            <w:r/>
            <w:r>
              <w:rPr>
                <w:rFonts w:ascii="Arial" w:hAnsi="Arial"/>
                <w:b w:val="0"/>
                <w:sz w:val="20"/>
              </w:rPr>
              <w:t>PS-3, PS-5 — formation propre aux rôles; suivi</w:t>
            </w:r>
          </w:p>
        </w:tc>
        <w:tc>
          <w:tcPr>
            <w:tcW w:type="dxa" w:w="3360"/>
          </w:tcPr>
          <w:p>
            <w:r/>
            <w:r>
              <w:rPr>
                <w:rFonts w:ascii="Arial" w:hAnsi="Arial"/>
                <w:b w:val="0"/>
                <w:sz w:val="20"/>
              </w:rPr>
              <w:t>Registres de formation propre aux rôles; suivi des achèvements</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