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r>
              <w:rPr>
                <w:rFonts w:ascii="Arial" w:hAnsi="Arial"/>
                <w:b w:val="0"/>
                <w:sz w:val="20"/>
              </w:rPr>
              <w:t>[INSERT ORGANIZATION LOGO]</w:t>
            </w:r>
          </w:p>
        </w:tc>
        <w:tc>
          <w:tcPr>
            <w:tcW w:type="dxa" w:w="5040"/>
          </w:tcPr>
          <w:p>
            <w:r/>
            <w:r>
              <w:rPr>
                <w:rFonts w:ascii="Arial" w:hAnsi="Arial"/>
                <w:b/>
                <w:sz w:val="24"/>
              </w:rPr>
              <w:t>[Organization Name]</w:t>
            </w:r>
          </w:p>
          <w:p>
            <w:r>
              <w:rPr>
                <w:rFonts w:ascii="Arial" w:hAnsi="Arial"/>
                <w:b/>
                <w:color w:val="2E5FA3"/>
                <w:sz w:val="28"/>
              </w:rPr>
              <w:t>Supply Chain Risk Management Policy</w:t>
            </w:r>
          </w:p>
        </w:tc>
      </w:tr>
    </w:tbl>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20"/>
        <w:gridCol w:w="2520"/>
        <w:gridCol w:w="2520"/>
        <w:gridCol w:w="2520"/>
      </w:tblGrid>
      <w:tr>
        <w:tc>
          <w:tcPr>
            <w:tcW w:type="dxa" w:w="2520"/>
            <w:shd w:val="clear" w:color="auto" w:fill="1B3A6B"/>
          </w:tcPr>
          <w:p>
            <w:r/>
            <w:r>
              <w:rPr>
                <w:rFonts w:ascii="Arial" w:hAnsi="Arial"/>
                <w:b/>
                <w:color w:val="FFFFFF"/>
                <w:sz w:val="20"/>
              </w:rPr>
              <w:t>Field</w:t>
            </w:r>
          </w:p>
        </w:tc>
        <w:tc>
          <w:tcPr>
            <w:tcW w:type="dxa" w:w="2520"/>
            <w:shd w:val="clear" w:color="auto" w:fill="1B3A6B"/>
          </w:tcPr>
          <w:p>
            <w:r/>
            <w:r>
              <w:rPr>
                <w:rFonts w:ascii="Arial" w:hAnsi="Arial"/>
                <w:b/>
                <w:color w:val="FFFFFF"/>
                <w:sz w:val="20"/>
              </w:rPr>
              <w:t>Value</w:t>
            </w:r>
          </w:p>
        </w:tc>
        <w:tc>
          <w:tcPr>
            <w:tcW w:type="dxa" w:w="2520"/>
            <w:shd w:val="clear" w:color="auto" w:fill="1B3A6B"/>
          </w:tcPr>
          <w:p>
            <w:r/>
            <w:r>
              <w:rPr>
                <w:rFonts w:ascii="Arial" w:hAnsi="Arial"/>
                <w:b/>
                <w:color w:val="FFFFFF"/>
                <w:sz w:val="20"/>
              </w:rPr>
              <w:t>Field</w:t>
            </w:r>
          </w:p>
        </w:tc>
        <w:tc>
          <w:tcPr>
            <w:tcW w:type="dxa" w:w="2520"/>
            <w:shd w:val="clear" w:color="auto" w:fill="1B3A6B"/>
          </w:tcPr>
          <w:p>
            <w:r/>
            <w:r>
              <w:rPr>
                <w:rFonts w:ascii="Arial" w:hAnsi="Arial"/>
                <w:b/>
                <w:color w:val="FFFFFF"/>
                <w:sz w:val="20"/>
              </w:rPr>
              <w:t>Value</w:t>
            </w:r>
          </w:p>
        </w:tc>
      </w:tr>
      <w:tr>
        <w:tc>
          <w:tcPr>
            <w:tcW w:type="dxa" w:w="2520"/>
          </w:tcPr>
          <w:p>
            <w:r/>
            <w:r>
              <w:rPr>
                <w:rFonts w:ascii="Arial" w:hAnsi="Arial"/>
                <w:b w:val="0"/>
                <w:sz w:val="20"/>
              </w:rPr>
              <w:t>Policy Name</w:t>
            </w:r>
          </w:p>
        </w:tc>
        <w:tc>
          <w:tcPr>
            <w:tcW w:type="dxa" w:w="2520"/>
          </w:tcPr>
          <w:p>
            <w:r/>
            <w:r>
              <w:rPr>
                <w:rFonts w:ascii="Arial" w:hAnsi="Arial"/>
                <w:b w:val="0"/>
                <w:sz w:val="20"/>
              </w:rPr>
              <w:t>Supply Chain Risk Management Policy</w:t>
            </w:r>
          </w:p>
        </w:tc>
        <w:tc>
          <w:tcPr>
            <w:tcW w:type="dxa" w:w="2520"/>
          </w:tcPr>
          <w:p>
            <w:r/>
            <w:r>
              <w:rPr>
                <w:rFonts w:ascii="Arial" w:hAnsi="Arial"/>
                <w:b w:val="0"/>
                <w:sz w:val="20"/>
              </w:rPr>
              <w:t>Version</w:t>
            </w:r>
          </w:p>
        </w:tc>
        <w:tc>
          <w:tcPr>
            <w:tcW w:type="dxa" w:w="2520"/>
          </w:tcPr>
          <w:p>
            <w:r/>
            <w:r>
              <w:rPr>
                <w:rFonts w:ascii="Arial" w:hAnsi="Arial"/>
                <w:b w:val="0"/>
                <w:sz w:val="20"/>
              </w:rPr>
              <w:t>[1.0]</w:t>
            </w:r>
          </w:p>
        </w:tc>
      </w:tr>
      <w:tr>
        <w:tc>
          <w:tcPr>
            <w:tcW w:type="dxa" w:w="2520"/>
          </w:tcPr>
          <w:p>
            <w:r/>
            <w:r>
              <w:rPr>
                <w:rFonts w:ascii="Arial" w:hAnsi="Arial"/>
                <w:b w:val="0"/>
                <w:sz w:val="20"/>
              </w:rPr>
              <w:t>Policy Owner</w:t>
            </w:r>
          </w:p>
        </w:tc>
        <w:tc>
          <w:tcPr>
            <w:tcW w:type="dxa" w:w="2520"/>
          </w:tcPr>
          <w:p>
            <w:r/>
            <w:r>
              <w:rPr>
                <w:rFonts w:ascii="Arial" w:hAnsi="Arial"/>
                <w:b w:val="0"/>
                <w:sz w:val="20"/>
              </w:rPr>
              <w:t>[IT Manager / ISSO]</w:t>
            </w:r>
          </w:p>
        </w:tc>
        <w:tc>
          <w:tcPr>
            <w:tcW w:type="dxa" w:w="2520"/>
          </w:tcPr>
          <w:p>
            <w:r/>
            <w:r>
              <w:rPr>
                <w:rFonts w:ascii="Arial" w:hAnsi="Arial"/>
                <w:b w:val="0"/>
                <w:sz w:val="20"/>
              </w:rPr>
              <w:t>Approved By</w:t>
            </w:r>
          </w:p>
        </w:tc>
        <w:tc>
          <w:tcPr>
            <w:tcW w:type="dxa" w:w="2520"/>
          </w:tcPr>
          <w:p>
            <w:r/>
            <w:r>
              <w:rPr>
                <w:rFonts w:ascii="Arial" w:hAnsi="Arial"/>
                <w:b w:val="0"/>
                <w:sz w:val="20"/>
              </w:rPr>
              <w:t>[CEO / CISO]</w:t>
            </w:r>
          </w:p>
        </w:tc>
      </w:tr>
      <w:tr>
        <w:tc>
          <w:tcPr>
            <w:tcW w:type="dxa" w:w="2520"/>
          </w:tcPr>
          <w:p>
            <w:r/>
            <w:r>
              <w:rPr>
                <w:rFonts w:ascii="Arial" w:hAnsi="Arial"/>
                <w:b w:val="0"/>
                <w:sz w:val="20"/>
              </w:rPr>
              <w:t>Effective Date</w:t>
            </w:r>
          </w:p>
        </w:tc>
        <w:tc>
          <w:tcPr>
            <w:tcW w:type="dxa" w:w="2520"/>
          </w:tcPr>
          <w:p>
            <w:r/>
            <w:r>
              <w:rPr>
                <w:rFonts w:ascii="Arial" w:hAnsi="Arial"/>
                <w:b w:val="0"/>
                <w:sz w:val="20"/>
              </w:rPr>
              <w:t>[YYYY-MM-DD]</w:t>
            </w:r>
          </w:p>
        </w:tc>
        <w:tc>
          <w:tcPr>
            <w:tcW w:type="dxa" w:w="2520"/>
          </w:tcPr>
          <w:p>
            <w:r/>
            <w:r>
              <w:rPr>
                <w:rFonts w:ascii="Arial" w:hAnsi="Arial"/>
                <w:b w:val="0"/>
                <w:sz w:val="20"/>
              </w:rPr>
              <w:t>Last Reviewed</w:t>
            </w:r>
          </w:p>
        </w:tc>
        <w:tc>
          <w:tcPr>
            <w:tcW w:type="dxa" w:w="2520"/>
          </w:tcPr>
          <w:p>
            <w:r/>
            <w:r>
              <w:rPr>
                <w:rFonts w:ascii="Arial" w:hAnsi="Arial"/>
                <w:b w:val="0"/>
                <w:sz w:val="20"/>
              </w:rPr>
              <w:t>[YYYY-MM-DD]</w:t>
            </w:r>
          </w:p>
        </w:tc>
      </w:tr>
      <w:tr>
        <w:tc>
          <w:tcPr>
            <w:tcW w:type="dxa" w:w="2520"/>
          </w:tcPr>
          <w:p>
            <w:r/>
            <w:r>
              <w:rPr>
                <w:rFonts w:ascii="Arial" w:hAnsi="Arial"/>
                <w:b w:val="0"/>
                <w:sz w:val="20"/>
              </w:rPr>
              <w:t>Review Cadence</w:t>
            </w:r>
          </w:p>
        </w:tc>
        <w:tc>
          <w:tcPr>
            <w:tcW w:type="dxa" w:w="2520"/>
          </w:tcPr>
          <w:p>
            <w:r/>
            <w:r>
              <w:rPr>
                <w:rFonts w:ascii="Arial" w:hAnsi="Arial"/>
                <w:b w:val="0"/>
                <w:sz w:val="20"/>
              </w:rPr>
              <w:t>Annual (or upon major change)</w:t>
            </w:r>
          </w:p>
        </w:tc>
        <w:tc>
          <w:tcPr>
            <w:tcW w:type="dxa" w:w="2520"/>
          </w:tcPr>
          <w:p>
            <w:r/>
            <w:r>
              <w:rPr>
                <w:rFonts w:ascii="Arial" w:hAnsi="Arial"/>
                <w:b w:val="0"/>
                <w:sz w:val="20"/>
              </w:rPr>
              <w:t>Classification</w:t>
            </w:r>
          </w:p>
        </w:tc>
        <w:tc>
          <w:tcPr>
            <w:tcW w:type="dxa" w:w="2520"/>
          </w:tcPr>
          <w:p>
            <w:r/>
            <w:r>
              <w:rPr>
                <w:rFonts w:ascii="Arial" w:hAnsi="Arial"/>
                <w:b w:val="0"/>
                <w:sz w:val="20"/>
              </w:rPr>
              <w:t>[CUI / Internal]</w:t>
            </w:r>
          </w:p>
        </w:tc>
      </w:tr>
    </w:tbl>
    <w:p/>
    <w:p>
      <w:pPr>
        <w:spacing w:before="200" w:after="80"/>
      </w:pPr>
      <w:r>
        <w:rPr>
          <w:rFonts w:ascii="Arial" w:hAnsi="Arial"/>
          <w:b/>
          <w:color w:val="2E5FA3"/>
          <w:sz w:val="26"/>
        </w:rPr>
        <w:t>1.  Purpose</w:t>
      </w:r>
    </w:p>
    <w:p>
      <w:r>
        <w:rPr>
          <w:rFonts w:ascii="Arial" w:hAnsi="Arial"/>
          <w:sz w:val="21"/>
        </w:rPr>
        <w:t>This policy establishes how [Organization Name] manages cybersecurity risk arising from its suppliers, products, and the broader supply chain for systems and services that handle Controlled Unclassified Information (CUI). Compromised or untrustworthy suppliers and components can undermine even strong internal controls. This policy defines supply-chain risk planning, supplier requirements, and acquisition practices.</w:t>
      </w:r>
    </w:p>
    <w:p>
      <w:pPr>
        <w:spacing w:before="200" w:after="80"/>
      </w:pPr>
      <w:r>
        <w:rPr>
          <w:rFonts w:ascii="Arial" w:hAnsi="Arial"/>
          <w:b/>
          <w:color w:val="2E5FA3"/>
          <w:sz w:val="26"/>
        </w:rPr>
        <w:t>2.  Scope</w:t>
      </w:r>
    </w:p>
    <w:p>
      <w:r>
        <w:rPr>
          <w:rFonts w:ascii="Arial" w:hAnsi="Arial"/>
          <w:sz w:val="21"/>
        </w:rPr>
        <w:t>This policy applies to:</w:t>
      </w:r>
    </w:p>
    <w:p>
      <w:pPr>
        <w:ind w:left="360"/>
      </w:pPr>
      <w:r>
        <w:rPr>
          <w:rFonts w:ascii="Arial" w:hAnsi="Arial"/>
          <w:sz w:val="21"/>
        </w:rPr>
        <w:t>•  Suppliers, vendors, manufacturers, and service providers whose products or services affect CUI or in-scope systems.</w:t>
      </w:r>
    </w:p>
    <w:p>
      <w:pPr>
        <w:ind w:left="360"/>
      </w:pPr>
      <w:r>
        <w:rPr>
          <w:rFonts w:ascii="Arial" w:hAnsi="Arial"/>
          <w:sz w:val="21"/>
        </w:rPr>
        <w:t>•  Acquisition strategies, tools, and methods used to obtain those products and services.</w:t>
      </w:r>
    </w:p>
    <w:p>
      <w:pPr>
        <w:ind w:left="360"/>
      </w:pPr>
      <w:r>
        <w:rPr>
          <w:rFonts w:ascii="Arial" w:hAnsi="Arial"/>
          <w:sz w:val="21"/>
        </w:rPr>
        <w:t>•  Ongoing management of supply-chain relationships and requirements.</w:t>
      </w:r>
    </w:p>
    <w:p>
      <w:r>
        <w:rPr>
          <w:rFonts w:ascii="Arial" w:hAnsi="Arial"/>
          <w:sz w:val="21"/>
        </w:rPr>
        <w:t>Where CUI is involved, the requirements in this policy are mandatory and supersede convenience or operational preferences.</w:t>
      </w:r>
    </w:p>
    <w:p>
      <w:pPr>
        <w:spacing w:before="200" w:after="80"/>
      </w:pPr>
      <w:r>
        <w:rPr>
          <w:rFonts w:ascii="Arial" w:hAnsi="Arial"/>
          <w:b/>
          <w:color w:val="2E5FA3"/>
          <w:sz w:val="26"/>
        </w:rPr>
        <w:t>3.  Definitions</w:t>
      </w:r>
    </w:p>
    <w:p>
      <w:r>
        <w:rPr>
          <w:rFonts w:ascii="Arial" w:hAnsi="Arial"/>
          <w:b/>
          <w:sz w:val="21"/>
        </w:rPr>
        <w:t xml:space="preserve">Supply Chain: </w:t>
      </w:r>
      <w:r>
        <w:rPr>
          <w:rFonts w:ascii="Arial" w:hAnsi="Arial"/>
          <w:sz w:val="21"/>
        </w:rPr>
        <w:t>The network of suppliers, products, and services that contribute to the organization's systems.</w:t>
      </w:r>
    </w:p>
    <w:p>
      <w:r>
        <w:rPr>
          <w:rFonts w:ascii="Arial" w:hAnsi="Arial"/>
          <w:b/>
          <w:sz w:val="21"/>
        </w:rPr>
        <w:t xml:space="preserve">Supply Chain Risk: </w:t>
      </w:r>
      <w:r>
        <w:rPr>
          <w:rFonts w:ascii="Arial" w:hAnsi="Arial"/>
          <w:sz w:val="21"/>
        </w:rPr>
        <w:t>The risk that a supplier, product, or service introduces a vulnerability or compromise.</w:t>
      </w:r>
    </w:p>
    <w:p>
      <w:r>
        <w:rPr>
          <w:rFonts w:ascii="Arial" w:hAnsi="Arial"/>
          <w:b/>
          <w:sz w:val="21"/>
        </w:rPr>
        <w:t xml:space="preserve">Supplier Requirements: </w:t>
      </w:r>
      <w:r>
        <w:rPr>
          <w:rFonts w:ascii="Arial" w:hAnsi="Arial"/>
          <w:sz w:val="21"/>
        </w:rPr>
        <w:t>Security obligations imposed on suppliers (e.g., flow-down of CUI protection requirements).</w:t>
      </w:r>
    </w:p>
    <w:p>
      <w:r>
        <w:rPr>
          <w:rFonts w:ascii="Arial" w:hAnsi="Arial"/>
          <w:b/>
          <w:sz w:val="21"/>
        </w:rPr>
        <w:t xml:space="preserve">Provenance: </w:t>
      </w:r>
      <w:r>
        <w:rPr>
          <w:rFonts w:ascii="Arial" w:hAnsi="Arial"/>
          <w:sz w:val="21"/>
        </w:rPr>
        <w:t>Knowledge of the origin and chain of custody of a product or component.</w:t>
      </w:r>
    </w:p>
    <w:p>
      <w:pPr>
        <w:spacing w:before="200" w:after="80"/>
      </w:pPr>
      <w:r>
        <w:rPr>
          <w:rFonts w:ascii="Arial" w:hAnsi="Arial"/>
          <w:b/>
          <w:color w:val="2E5FA3"/>
          <w:sz w:val="26"/>
        </w:rPr>
        <w:t>4.  Roles &amp; Responsibilities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shd w:val="clear" w:color="auto" w:fill="1B3A6B"/>
          </w:tcPr>
          <w:p>
            <w:r/>
            <w:r>
              <w:rPr>
                <w:rFonts w:ascii="Arial" w:hAnsi="Arial"/>
                <w:b/>
                <w:color w:val="FFFFFF"/>
                <w:sz w:val="20"/>
              </w:rPr>
              <w:t>Role</w:t>
            </w:r>
          </w:p>
        </w:tc>
        <w:tc>
          <w:tcPr>
            <w:tcW w:type="dxa" w:w="5040"/>
            <w:shd w:val="clear" w:color="auto" w:fill="1B3A6B"/>
          </w:tcPr>
          <w:p>
            <w:r/>
            <w:r>
              <w:rPr>
                <w:rFonts w:ascii="Arial" w:hAnsi="Arial"/>
                <w:b/>
                <w:color w:val="FFFFFF"/>
                <w:sz w:val="20"/>
              </w:rPr>
              <w:t>Key Responsibilities</w:t>
            </w:r>
          </w:p>
        </w:tc>
      </w:tr>
      <w:tr>
        <w:tc>
          <w:tcPr>
            <w:tcW w:type="dxa" w:w="5040"/>
          </w:tcPr>
          <w:p>
            <w:r/>
            <w:r>
              <w:rPr>
                <w:rFonts w:ascii="Arial" w:hAnsi="Arial"/>
                <w:b w:val="0"/>
                <w:sz w:val="20"/>
              </w:rPr>
              <w:t>[IT Manager / ISSO]</w:t>
            </w:r>
          </w:p>
        </w:tc>
        <w:tc>
          <w:tcPr>
            <w:tcW w:type="dxa" w:w="5040"/>
          </w:tcPr>
          <w:p>
            <w:r/>
            <w:r>
              <w:rPr>
                <w:rFonts w:ascii="Arial" w:hAnsi="Arial"/>
                <w:b w:val="0"/>
                <w:sz w:val="20"/>
              </w:rPr>
              <w:t>Own this policy; maintain the supply-chain risk plan; set supplier security requirements; assess supplier risk.</w:t>
            </w:r>
          </w:p>
        </w:tc>
      </w:tr>
      <w:tr>
        <w:tc>
          <w:tcPr>
            <w:tcW w:type="dxa" w:w="5040"/>
          </w:tcPr>
          <w:p>
            <w:r/>
            <w:r>
              <w:rPr>
                <w:rFonts w:ascii="Arial" w:hAnsi="Arial"/>
                <w:b w:val="0"/>
                <w:sz w:val="20"/>
              </w:rPr>
              <w:t>[Procurement]</w:t>
            </w:r>
          </w:p>
        </w:tc>
        <w:tc>
          <w:tcPr>
            <w:tcW w:type="dxa" w:w="5040"/>
          </w:tcPr>
          <w:p>
            <w:r/>
            <w:r>
              <w:rPr>
                <w:rFonts w:ascii="Arial" w:hAnsi="Arial"/>
                <w:b w:val="0"/>
                <w:sz w:val="20"/>
              </w:rPr>
              <w:t>Apply approved acquisition strategies; flow down requirements into contracts; obtain attestations.</w:t>
            </w:r>
          </w:p>
        </w:tc>
      </w:tr>
      <w:tr>
        <w:tc>
          <w:tcPr>
            <w:tcW w:type="dxa" w:w="5040"/>
          </w:tcPr>
          <w:p>
            <w:r/>
            <w:r>
              <w:rPr>
                <w:rFonts w:ascii="Arial" w:hAnsi="Arial"/>
                <w:b w:val="0"/>
                <w:sz w:val="20"/>
              </w:rPr>
              <w:t>[Senior Leadership / CISO]</w:t>
            </w:r>
          </w:p>
        </w:tc>
        <w:tc>
          <w:tcPr>
            <w:tcW w:type="dxa" w:w="5040"/>
          </w:tcPr>
          <w:p>
            <w:r/>
            <w:r>
              <w:rPr>
                <w:rFonts w:ascii="Arial" w:hAnsi="Arial"/>
                <w:b w:val="0"/>
                <w:sz w:val="20"/>
              </w:rPr>
              <w:t>Approve this policy; accept residual supply-chain risk.</w:t>
            </w:r>
          </w:p>
        </w:tc>
      </w:tr>
      <w:tr>
        <w:tc>
          <w:tcPr>
            <w:tcW w:type="dxa" w:w="5040"/>
          </w:tcPr>
          <w:p>
            <w:r/>
            <w:r>
              <w:rPr>
                <w:rFonts w:ascii="Arial" w:hAnsi="Arial"/>
                <w:b w:val="0"/>
                <w:sz w:val="20"/>
              </w:rPr>
              <w:t>All Users</w:t>
            </w:r>
          </w:p>
        </w:tc>
        <w:tc>
          <w:tcPr>
            <w:tcW w:type="dxa" w:w="5040"/>
          </w:tcPr>
          <w:p>
            <w:r/>
            <w:r>
              <w:rPr>
                <w:rFonts w:ascii="Arial" w:hAnsi="Arial"/>
                <w:b w:val="0"/>
                <w:sz w:val="20"/>
              </w:rPr>
              <w:t>Use only approved suppliers/products; report supply-chain concerns.</w:t>
            </w:r>
          </w:p>
        </w:tc>
      </w:tr>
    </w:tbl>
    <w:p/>
    <w:p>
      <w:pPr>
        <w:spacing w:before="200" w:after="80"/>
      </w:pPr>
      <w:r>
        <w:rPr>
          <w:rFonts w:ascii="Arial" w:hAnsi="Arial"/>
          <w:b/>
          <w:color w:val="2E5FA3"/>
          <w:sz w:val="26"/>
        </w:rPr>
        <w:t>5.  Policy Statements</w:t>
      </w:r>
    </w:p>
    <w:p>
      <w:r>
        <w:rPr>
          <w:rFonts w:ascii="Arial" w:hAnsi="Arial"/>
          <w:b/>
          <w:color w:val="2E5FA3"/>
          <w:sz w:val="21"/>
        </w:rPr>
        <w:t>PS-1  Supply Chain Risk Management Plan</w:t>
      </w:r>
    </w:p>
    <w:p>
      <w:r>
        <w:rPr>
          <w:rFonts w:ascii="Arial" w:hAnsi="Arial"/>
          <w:sz w:val="21"/>
        </w:rPr>
        <w:t>[Organization Name] must develop and maintain a plan to manage supply-chain cybersecurity risk, identifying critical suppliers/components and the controls applied to manage their risk.</w:t>
      </w:r>
    </w:p>
    <w:p>
      <w:r>
        <w:rPr>
          <w:rFonts w:ascii="Arial" w:hAnsi="Arial"/>
          <w:b/>
          <w:color w:val="2E5FA3"/>
          <w:sz w:val="21"/>
        </w:rPr>
        <w:t>PS-2  Acquisition Strategies, Tools &amp; Methods</w:t>
      </w:r>
    </w:p>
    <w:p>
      <w:r>
        <w:rPr>
          <w:rFonts w:ascii="Arial" w:hAnsi="Arial"/>
          <w:sz w:val="21"/>
        </w:rPr>
        <w:t>The organization must use acquisition strategies, tools, and methods that reduce supply-chain risk (e.g., buying from trusted sources, requiring security attestations, verifying provenance where feasible).</w:t>
      </w:r>
    </w:p>
    <w:p>
      <w:r>
        <w:rPr>
          <w:rFonts w:ascii="Arial" w:hAnsi="Arial"/>
          <w:b/>
          <w:color w:val="2E5FA3"/>
          <w:sz w:val="21"/>
        </w:rPr>
        <w:t>PS-3  Supplier Requirements &amp; Flow-Down</w:t>
      </w:r>
    </w:p>
    <w:p>
      <w:r>
        <w:rPr>
          <w:rFonts w:ascii="Arial" w:hAnsi="Arial"/>
          <w:sz w:val="21"/>
        </w:rPr>
        <w:t>Security and CUI protection requirements must be defined for suppliers handling CUI or supplying in-scope components, and flowed down through contracts; supplier compliance must be verified.</w:t>
      </w:r>
    </w:p>
    <w:p>
      <w:r>
        <w:rPr>
          <w:rFonts w:ascii="Arial" w:hAnsi="Arial"/>
          <w:b/>
          <w:color w:val="2E5FA3"/>
          <w:sz w:val="21"/>
        </w:rPr>
        <w:t>PS-4  Supplier Risk Assessment</w:t>
      </w:r>
    </w:p>
    <w:p>
      <w:r>
        <w:rPr>
          <w:rFonts w:ascii="Arial" w:hAnsi="Arial"/>
          <w:sz w:val="21"/>
        </w:rPr>
        <w:t>Suppliers and products that affect CUI must be risk-assessed before engagement and periodically thereafter, and risk responses documented.</w:t>
      </w:r>
    </w:p>
    <w:p>
      <w:r>
        <w:rPr>
          <w:rFonts w:ascii="Arial" w:hAnsi="Arial"/>
          <w:b/>
          <w:color w:val="2E5FA3"/>
          <w:sz w:val="21"/>
        </w:rPr>
        <w:t>PS-5  Ongoing Monitoring</w:t>
      </w:r>
    </w:p>
    <w:p>
      <w:r>
        <w:rPr>
          <w:rFonts w:ascii="Arial" w:hAnsi="Arial"/>
          <w:sz w:val="21"/>
        </w:rPr>
        <w:t>Supply-chain relationships must be monitored for changes in risk (e.g., supplier breaches, end-of-support), with action taken as needed.</w:t>
      </w:r>
    </w:p>
    <w:p>
      <w:pPr>
        <w:spacing w:before="200" w:after="80"/>
      </w:pPr>
      <w:r>
        <w:rPr>
          <w:rFonts w:ascii="Arial" w:hAnsi="Arial"/>
          <w:b/>
          <w:color w:val="2E5FA3"/>
          <w:sz w:val="26"/>
        </w:rPr>
        <w:t>6.  Procedures &amp; Audit Evidence</w:t>
      </w:r>
    </w:p>
    <w:p>
      <w:r>
        <w:rPr>
          <w:rFonts w:ascii="Arial" w:hAnsi="Arial"/>
          <w:sz w:val="21"/>
        </w:rPr>
        <w:t>6.1  Plan &amp; Require</w:t>
      </w:r>
    </w:p>
    <w:p>
      <w:pPr>
        <w:ind w:left="360"/>
      </w:pPr>
      <w:r>
        <w:rPr>
          <w:rFonts w:ascii="Arial" w:hAnsi="Arial"/>
          <w:sz w:val="21"/>
        </w:rPr>
        <w:t>•  Maintain the supply-chain risk plan; identify critical suppliers/components.</w:t>
      </w:r>
    </w:p>
    <w:p>
      <w:pPr>
        <w:ind w:left="360"/>
      </w:pPr>
      <w:r>
        <w:rPr>
          <w:rFonts w:ascii="Arial" w:hAnsi="Arial"/>
          <w:sz w:val="21"/>
        </w:rPr>
        <w:t>•  Define and flow down supplier security/CUI requirements; obtain attestations.</w:t>
      </w:r>
    </w:p>
    <w:p>
      <w:r>
        <w:rPr>
          <w:rFonts w:ascii="Arial" w:hAnsi="Arial"/>
          <w:b/>
          <w:sz w:val="21"/>
        </w:rPr>
        <w:t xml:space="preserve">Audit evidence: </w:t>
      </w:r>
      <w:r>
        <w:rPr>
          <w:rFonts w:ascii="Arial" w:hAnsi="Arial"/>
          <w:sz w:val="21"/>
        </w:rPr>
        <w:t>Supply-chain risk plan; supplier requirements in contracts; supplier attestations.</w:t>
      </w:r>
    </w:p>
    <w:p>
      <w:r>
        <w:rPr>
          <w:rFonts w:ascii="Arial" w:hAnsi="Arial"/>
          <w:sz w:val="21"/>
        </w:rPr>
        <w:t>6.2  Assess &amp; Monitor</w:t>
      </w:r>
    </w:p>
    <w:p>
      <w:pPr>
        <w:ind w:left="360"/>
      </w:pPr>
      <w:r>
        <w:rPr>
          <w:rFonts w:ascii="Arial" w:hAnsi="Arial"/>
          <w:sz w:val="21"/>
        </w:rPr>
        <w:t>•  Risk-assess suppliers/products before engagement and periodically.</w:t>
      </w:r>
    </w:p>
    <w:p>
      <w:pPr>
        <w:ind w:left="360"/>
      </w:pPr>
      <w:r>
        <w:rPr>
          <w:rFonts w:ascii="Arial" w:hAnsi="Arial"/>
          <w:sz w:val="21"/>
        </w:rPr>
        <w:t>•  Monitor for supplier risk changes; respond as needed.</w:t>
      </w:r>
    </w:p>
    <w:p>
      <w:r>
        <w:rPr>
          <w:rFonts w:ascii="Arial" w:hAnsi="Arial"/>
          <w:b/>
          <w:sz w:val="21"/>
        </w:rPr>
        <w:t xml:space="preserve">Audit evidence: </w:t>
      </w:r>
      <w:r>
        <w:rPr>
          <w:rFonts w:ascii="Arial" w:hAnsi="Arial"/>
          <w:sz w:val="21"/>
        </w:rPr>
        <w:t>Supplier risk assessments; monitoring records; risk-response decisions.</w:t>
      </w:r>
    </w:p>
    <w:p>
      <w:pPr>
        <w:spacing w:before="200" w:after="80"/>
      </w:pPr>
      <w:r>
        <w:rPr>
          <w:rFonts w:ascii="Arial" w:hAnsi="Arial"/>
          <w:b/>
          <w:color w:val="2E5FA3"/>
          <w:sz w:val="26"/>
        </w:rPr>
        <w:t>7.  Compliance, Monitoring &amp; Enforcement</w:t>
      </w:r>
    </w:p>
    <w:p>
      <w:r>
        <w:rPr>
          <w:rFonts w:ascii="Arial" w:hAnsi="Arial"/>
          <w:sz w:val="21"/>
        </w:rPr>
        <w:t>The [IT Manager / ISSO] shall review compliance with this policy at least [quarterly] by verifying a supply-chain risk plan exists, supplier security/CUI requirements are flowed down and verified, and supplier risk is assessed and monitored. Results shall be reported to [Senior Leadership / CISO].</w:t>
      </w:r>
    </w:p>
    <w:p>
      <w:r>
        <w:rPr>
          <w:rFonts w:ascii="Arial" w:hAnsi="Arial"/>
          <w:sz w:val="21"/>
        </w:rPr>
        <w:t>Violations may result in:</w:t>
      </w:r>
    </w:p>
    <w:p>
      <w:pPr>
        <w:ind w:left="360"/>
      </w:pPr>
      <w:r>
        <w:rPr>
          <w:rFonts w:ascii="Arial" w:hAnsi="Arial"/>
          <w:sz w:val="21"/>
        </w:rPr>
        <w:t>•  Remediation of the deficiency within a timeframe set by the policy owner based on risk.</w:t>
      </w:r>
    </w:p>
    <w:p>
      <w:pPr>
        <w:ind w:left="360"/>
      </w:pPr>
      <w:r>
        <w:rPr>
          <w:rFonts w:ascii="Arial" w:hAnsi="Arial"/>
          <w:sz w:val="21"/>
        </w:rPr>
        <w:t>•  Disciplinary action up to and including termination of employment or contract, consistent with [Organization Name]'s disciplinary procedures.</w:t>
      </w:r>
    </w:p>
    <w:p>
      <w:pPr>
        <w:ind w:left="360"/>
      </w:pPr>
      <w:r>
        <w:rPr>
          <w:rFonts w:ascii="Arial" w:hAnsi="Arial"/>
          <w:sz w:val="21"/>
        </w:rPr>
        <w:t>•  Referral to law enforcement and notification to government contracting officers where CUI or criminal activity is involved, as required by the applicable contract or regulation.</w:t>
      </w:r>
    </w:p>
    <w:p>
      <w:pPr>
        <w:spacing w:before="200" w:after="80"/>
      </w:pPr>
      <w:r>
        <w:rPr>
          <w:rFonts w:ascii="Arial" w:hAnsi="Arial"/>
          <w:b/>
          <w:color w:val="2E5FA3"/>
          <w:sz w:val="26"/>
        </w:rPr>
        <w:t>8.  Exceptions</w:t>
      </w:r>
    </w:p>
    <w:p>
      <w:r>
        <w:rPr>
          <w:rFonts w:ascii="Arial" w:hAnsi="Arial"/>
          <w:sz w:val="21"/>
        </w:rPr>
        <w:t>Exceptions to this policy must be rare. To request one:</w:t>
      </w:r>
    </w:p>
    <w:p>
      <w:pPr>
        <w:ind w:left="360"/>
      </w:pPr>
      <w:r>
        <w:rPr>
          <w:rFonts w:ascii="Arial" w:hAnsi="Arial"/>
          <w:sz w:val="21"/>
        </w:rPr>
        <w:t>•  The requester submits a written exception to the policy owner describing the requirement that cannot be met, the business justification, the risk introduced, and proposed compensating controls.</w:t>
      </w:r>
    </w:p>
    <w:p>
      <w:pPr>
        <w:ind w:left="360"/>
      </w:pPr>
      <w:r>
        <w:rPr>
          <w:rFonts w:ascii="Arial" w:hAnsi="Arial"/>
          <w:sz w:val="21"/>
        </w:rPr>
        <w:t>•  The policy owner assesses the risk and prepares a recommendation; [Senior Leadership / CISO] approves or denies the exception in writing.</w:t>
      </w:r>
    </w:p>
    <w:p>
      <w:pPr>
        <w:ind w:left="360"/>
      </w:pPr>
      <w:r>
        <w:rPr>
          <w:rFonts w:ascii="Arial" w:hAnsi="Arial"/>
          <w:sz w:val="21"/>
        </w:rPr>
        <w:t>•  Approved exceptions are logged in the Exception Register with an expiry of no more than [organization-defined: 12 months; recommended: 12 months], reviewed upon expiry, and reflected as a plan of action and milestones (POA&amp;M) item in the SSP where CUI systems are affected.</w:t>
      </w:r>
    </w:p>
    <w:p>
      <w:pPr>
        <w:spacing w:before="200" w:after="80"/>
      </w:pPr>
      <w:r>
        <w:rPr>
          <w:rFonts w:ascii="Arial" w:hAnsi="Arial"/>
          <w:b/>
          <w:color w:val="2E5FA3"/>
          <w:sz w:val="26"/>
        </w:rPr>
        <w:t>9.  Related Documents</w:t>
      </w:r>
    </w:p>
    <w:p>
      <w:pPr>
        <w:ind w:left="360"/>
      </w:pPr>
      <w:r>
        <w:rPr>
          <w:rFonts w:ascii="Arial" w:hAnsi="Arial"/>
          <w:sz w:val="21"/>
        </w:rPr>
        <w:t>•  System &amp; Services Acquisition Policy — acquiring systems and services securely.</w:t>
      </w:r>
    </w:p>
    <w:p>
      <w:pPr>
        <w:ind w:left="360"/>
      </w:pPr>
      <w:r>
        <w:rPr>
          <w:rFonts w:ascii="Arial" w:hAnsi="Arial"/>
          <w:sz w:val="21"/>
        </w:rPr>
        <w:t>•  Risk Assessment Policy — supplier and product risk.</w:t>
      </w:r>
    </w:p>
    <w:p>
      <w:pPr>
        <w:ind w:left="360"/>
      </w:pPr>
      <w:r>
        <w:rPr>
          <w:rFonts w:ascii="Arial" w:hAnsi="Arial"/>
          <w:sz w:val="21"/>
        </w:rPr>
        <w:t>•  Configuration Management Policy — component inventory and provenance.</w:t>
      </w:r>
    </w:p>
    <w:p>
      <w:pPr>
        <w:ind w:left="360"/>
      </w:pPr>
      <w:r>
        <w:rPr>
          <w:rFonts w:ascii="Arial" w:hAnsi="Arial"/>
          <w:sz w:val="21"/>
        </w:rPr>
        <w:t>•  System Security Plan (SSP) — external services in the boundary.</w:t>
      </w:r>
    </w:p>
    <w:p>
      <w:pPr>
        <w:spacing w:before="200" w:after="80"/>
      </w:pPr>
      <w:r>
        <w:rPr>
          <w:rFonts w:ascii="Arial" w:hAnsi="Arial"/>
          <w:b/>
          <w:color w:val="2E5FA3"/>
          <w:sz w:val="26"/>
        </w:rPr>
        <w:t>10.  Control Mapping</w:t>
      </w:r>
    </w:p>
    <w:p>
      <w:r>
        <w:rPr>
          <w:rFonts w:ascii="Arial" w:hAnsi="Arial"/>
          <w:sz w:val="21"/>
        </w:rPr>
        <w:t>The table below maps each required control to the policy statement(s) that satisfy it and the evidence an auditor will seek. Control IDs are from NIST SP 800-171 Rev 3 (family 03.17); they are equally applicable to CMMC 2.0 Level 2 and ITSP.10.171 (CPCSC).</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shd w:val="clear" w:color="auto" w:fill="1B3A6B"/>
          </w:tcPr>
          <w:p>
            <w:r/>
            <w:r>
              <w:rPr>
                <w:rFonts w:ascii="Arial" w:hAnsi="Arial"/>
                <w:b/>
                <w:color w:val="FFFFFF"/>
                <w:sz w:val="20"/>
              </w:rPr>
              <w:t>Control ID</w:t>
            </w:r>
          </w:p>
        </w:tc>
        <w:tc>
          <w:tcPr>
            <w:tcW w:type="dxa" w:w="3360"/>
            <w:shd w:val="clear" w:color="auto" w:fill="1B3A6B"/>
          </w:tcPr>
          <w:p>
            <w:r/>
            <w:r>
              <w:rPr>
                <w:rFonts w:ascii="Arial" w:hAnsi="Arial"/>
                <w:b/>
                <w:color w:val="FFFFFF"/>
                <w:sz w:val="20"/>
              </w:rPr>
              <w:t>Policy Statement(s)</w:t>
            </w:r>
          </w:p>
        </w:tc>
        <w:tc>
          <w:tcPr>
            <w:tcW w:type="dxa" w:w="3360"/>
            <w:shd w:val="clear" w:color="auto" w:fill="1B3A6B"/>
          </w:tcPr>
          <w:p>
            <w:r/>
            <w:r>
              <w:rPr>
                <w:rFonts w:ascii="Arial" w:hAnsi="Arial"/>
                <w:b/>
                <w:color w:val="FFFFFF"/>
                <w:sz w:val="20"/>
              </w:rPr>
              <w:t>Expected Audit Evidence</w:t>
            </w:r>
          </w:p>
        </w:tc>
      </w:tr>
      <w:tr>
        <w:tc>
          <w:tcPr>
            <w:tcW w:type="dxa" w:w="3360"/>
          </w:tcPr>
          <w:p>
            <w:r/>
            <w:r>
              <w:rPr>
                <w:rFonts w:ascii="Arial" w:hAnsi="Arial"/>
                <w:b w:val="0"/>
                <w:sz w:val="20"/>
              </w:rPr>
              <w:t>03.17.01  Supply Chain Risk Management Plan</w:t>
            </w:r>
          </w:p>
        </w:tc>
        <w:tc>
          <w:tcPr>
            <w:tcW w:type="dxa" w:w="3360"/>
          </w:tcPr>
          <w:p>
            <w:r/>
            <w:r>
              <w:rPr>
                <w:rFonts w:ascii="Arial" w:hAnsi="Arial"/>
                <w:b w:val="0"/>
                <w:sz w:val="20"/>
              </w:rPr>
              <w:t>PS-1 — SCRM plan</w:t>
            </w:r>
          </w:p>
        </w:tc>
        <w:tc>
          <w:tcPr>
            <w:tcW w:type="dxa" w:w="3360"/>
          </w:tcPr>
          <w:p>
            <w:r/>
            <w:r>
              <w:rPr>
                <w:rFonts w:ascii="Arial" w:hAnsi="Arial"/>
                <w:b w:val="0"/>
                <w:sz w:val="20"/>
              </w:rPr>
              <w:t>Supply-chain risk plan (dated)</w:t>
            </w:r>
          </w:p>
        </w:tc>
      </w:tr>
      <w:tr>
        <w:tc>
          <w:tcPr>
            <w:tcW w:type="dxa" w:w="3360"/>
          </w:tcPr>
          <w:p>
            <w:r/>
            <w:r>
              <w:rPr>
                <w:rFonts w:ascii="Arial" w:hAnsi="Arial"/>
                <w:b w:val="0"/>
                <w:sz w:val="20"/>
              </w:rPr>
              <w:t>03.17.02  Acquisition Strategies, Tools, and Methods</w:t>
            </w:r>
          </w:p>
        </w:tc>
        <w:tc>
          <w:tcPr>
            <w:tcW w:type="dxa" w:w="3360"/>
          </w:tcPr>
          <w:p>
            <w:r/>
            <w:r>
              <w:rPr>
                <w:rFonts w:ascii="Arial" w:hAnsi="Arial"/>
                <w:b w:val="0"/>
                <w:sz w:val="20"/>
              </w:rPr>
              <w:t>PS-2 — risk-reducing acquisition</w:t>
            </w:r>
          </w:p>
        </w:tc>
        <w:tc>
          <w:tcPr>
            <w:tcW w:type="dxa" w:w="3360"/>
          </w:tcPr>
          <w:p>
            <w:r/>
            <w:r>
              <w:rPr>
                <w:rFonts w:ascii="Arial" w:hAnsi="Arial"/>
                <w:b w:val="0"/>
                <w:sz w:val="20"/>
              </w:rPr>
              <w:t>Acquisition strategy; trusted-source evidence</w:t>
            </w:r>
          </w:p>
        </w:tc>
      </w:tr>
      <w:tr>
        <w:tc>
          <w:tcPr>
            <w:tcW w:type="dxa" w:w="3360"/>
          </w:tcPr>
          <w:p>
            <w:r/>
            <w:r>
              <w:rPr>
                <w:rFonts w:ascii="Arial" w:hAnsi="Arial"/>
                <w:b w:val="0"/>
                <w:sz w:val="20"/>
              </w:rPr>
              <w:t>03.17.03  Supply Chain Requirements and Processes</w:t>
            </w:r>
          </w:p>
        </w:tc>
        <w:tc>
          <w:tcPr>
            <w:tcW w:type="dxa" w:w="3360"/>
          </w:tcPr>
          <w:p>
            <w:r/>
            <w:r>
              <w:rPr>
                <w:rFonts w:ascii="Arial" w:hAnsi="Arial"/>
                <w:b w:val="0"/>
                <w:sz w:val="20"/>
              </w:rPr>
              <w:t>PS-3, PS-4, PS-5 — requirements, assessment, monitoring</w:t>
            </w:r>
          </w:p>
        </w:tc>
        <w:tc>
          <w:tcPr>
            <w:tcW w:type="dxa" w:w="3360"/>
          </w:tcPr>
          <w:p>
            <w:r/>
            <w:r>
              <w:rPr>
                <w:rFonts w:ascii="Arial" w:hAnsi="Arial"/>
                <w:b w:val="0"/>
                <w:sz w:val="20"/>
              </w:rPr>
              <w:t>Supplier requirements/attestations; risk assessments; monitoring records</w:t>
            </w:r>
          </w:p>
        </w:tc>
      </w:tr>
    </w:tbl>
    <w:p/>
    <w:p>
      <w:pPr>
        <w:spacing w:before="200" w:after="80"/>
      </w:pPr>
      <w:r>
        <w:rPr>
          <w:rFonts w:ascii="Arial" w:hAnsi="Arial"/>
          <w:b/>
          <w:color w:val="2E5FA3"/>
          <w:sz w:val="26"/>
        </w:rPr>
        <w:t>11.  Revision History</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20"/>
        <w:gridCol w:w="2520"/>
        <w:gridCol w:w="2520"/>
        <w:gridCol w:w="2520"/>
      </w:tblGrid>
      <w:tr>
        <w:tc>
          <w:tcPr>
            <w:tcW w:type="dxa" w:w="2520"/>
            <w:shd w:val="clear" w:color="auto" w:fill="1B3A6B"/>
          </w:tcPr>
          <w:p>
            <w:r/>
            <w:r>
              <w:rPr>
                <w:rFonts w:ascii="Arial" w:hAnsi="Arial"/>
                <w:b/>
                <w:color w:val="FFFFFF"/>
                <w:sz w:val="20"/>
              </w:rPr>
              <w:t>Version</w:t>
            </w:r>
          </w:p>
        </w:tc>
        <w:tc>
          <w:tcPr>
            <w:tcW w:type="dxa" w:w="2520"/>
            <w:shd w:val="clear" w:color="auto" w:fill="1B3A6B"/>
          </w:tcPr>
          <w:p>
            <w:r/>
            <w:r>
              <w:rPr>
                <w:rFonts w:ascii="Arial" w:hAnsi="Arial"/>
                <w:b/>
                <w:color w:val="FFFFFF"/>
                <w:sz w:val="20"/>
              </w:rPr>
              <w:t>Date</w:t>
            </w:r>
          </w:p>
        </w:tc>
        <w:tc>
          <w:tcPr>
            <w:tcW w:type="dxa" w:w="2520"/>
            <w:shd w:val="clear" w:color="auto" w:fill="1B3A6B"/>
          </w:tcPr>
          <w:p>
            <w:r/>
            <w:r>
              <w:rPr>
                <w:rFonts w:ascii="Arial" w:hAnsi="Arial"/>
                <w:b/>
                <w:color w:val="FFFFFF"/>
                <w:sz w:val="20"/>
              </w:rPr>
              <w:t>Author / Role</w:t>
            </w:r>
          </w:p>
        </w:tc>
        <w:tc>
          <w:tcPr>
            <w:tcW w:type="dxa" w:w="2520"/>
            <w:shd w:val="clear" w:color="auto" w:fill="1B3A6B"/>
          </w:tcPr>
          <w:p>
            <w:r/>
            <w:r>
              <w:rPr>
                <w:rFonts w:ascii="Arial" w:hAnsi="Arial"/>
                <w:b/>
                <w:color w:val="FFFFFF"/>
                <w:sz w:val="20"/>
              </w:rPr>
              <w:t>Summary of Changes</w:t>
            </w:r>
          </w:p>
        </w:tc>
      </w:tr>
      <w:tr>
        <w:tc>
          <w:tcPr>
            <w:tcW w:type="dxa" w:w="2520"/>
          </w:tcPr>
          <w:p>
            <w:r/>
            <w:r>
              <w:rPr>
                <w:rFonts w:ascii="Arial" w:hAnsi="Arial"/>
                <w:b w:val="0"/>
                <w:sz w:val="20"/>
              </w:rPr>
              <w:t>1.0</w:t>
            </w:r>
          </w:p>
        </w:tc>
        <w:tc>
          <w:tcPr>
            <w:tcW w:type="dxa" w:w="2520"/>
          </w:tcPr>
          <w:p>
            <w:r/>
            <w:r>
              <w:rPr>
                <w:rFonts w:ascii="Arial" w:hAnsi="Arial"/>
                <w:b w:val="0"/>
                <w:sz w:val="20"/>
              </w:rPr>
              <w:t>[YYYY-MM-DD]</w:t>
            </w:r>
          </w:p>
        </w:tc>
        <w:tc>
          <w:tcPr>
            <w:tcW w:type="dxa" w:w="2520"/>
          </w:tcPr>
          <w:p>
            <w:r/>
            <w:r>
              <w:rPr>
                <w:rFonts w:ascii="Arial" w:hAnsi="Arial"/>
                <w:b w:val="0"/>
                <w:sz w:val="20"/>
              </w:rPr>
              <w:t>[IT Manager / ISSO]</w:t>
            </w:r>
          </w:p>
        </w:tc>
        <w:tc>
          <w:tcPr>
            <w:tcW w:type="dxa" w:w="2520"/>
          </w:tcPr>
          <w:p>
            <w:r/>
            <w:r>
              <w:rPr>
                <w:rFonts w:ascii="Arial" w:hAnsi="Arial"/>
                <w:b w:val="0"/>
                <w:sz w:val="20"/>
              </w:rPr>
              <w:t>Initial policy release.</w:t>
            </w:r>
          </w:p>
        </w:tc>
      </w:tr>
    </w:tbl>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5FA3" w:sz="4" w:space="1"/>
      </w:pBdr>
      <w:spacing w:before="80"/>
      <w:jc w:val="center"/>
    </w:pPr>
    <w:r>
      <w:rPr>
        <w:rFonts w:ascii="Arial" w:cs="Arial" w:eastAsia="Arial" w:hAnsi="Arial"/>
        <w:i/>
        <w:iCs/>
        <w:color w:val="8096B0"/>
        <w:sz w:val="15"/>
        <w:szCs w:val="15"/>
      </w:rPr>
      <w:t xml:space="preserve">CONFIDENTIAL — For internal use only. Review annually or upon significant change.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FA3" w:sz="4" w:space="1"/>
      </w:pBdr>
      <w:spacing w:after="80"/>
      <w:jc w:val="right"/>
    </w:pPr>
    <w:r>
      <w:rPr>
        <w:rFonts w:ascii="Arial" w:cs="Arial" w:eastAsia="Arial" w:hAnsi="Arial"/>
        <w:color w:val="8096B0"/>
        <w:sz w:val="16"/>
        <w:szCs w:val="16"/>
      </w:rPr>
      <w:t xml:space="preserve">[Organization Name]  |  Access Control Policy  |  v[1.0]  |  </w:t>
    </w:r>
    <w:r>
      <w:rPr>
        <w:rFonts w:ascii="Arial" w:cs="Arial" w:eastAsia="Arial" w:hAnsi="Arial"/>
        <w:color w:val="8096B0"/>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PS-%1."/>
      <w:lvlJc w:val="left"/>
      <w:pPr>
        <w:ind w:left="700" w:hanging="400"/>
      </w:pPr>
    </w:lvl>
  </w:abstractNum>
  <w:abstractNum w:abstractNumId="4"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B3A6B"/>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2E5FA3"/>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2026-06-06T13:50:17.851Z</dcterms:created>
  <dcterms:modified xsi:type="dcterms:W3CDTF">2026-06-06T13:50:17.852Z</dcterms:modified>
</cp:coreProperties>
</file>

<file path=docProps/custom.xml><?xml version="1.0" encoding="utf-8"?>
<Properties xmlns="http://schemas.openxmlformats.org/officeDocument/2006/custom-properties" xmlns:vt="http://schemas.openxmlformats.org/officeDocument/2006/docPropsVTypes"/>
</file>