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tcPr>
          <w:p>
            <w:r/>
            <w:r>
              <w:rPr>
                <w:rFonts w:ascii="Arial" w:hAnsi="Arial"/>
                <w:b w:val="0"/>
                <w:sz w:val="20"/>
              </w:rPr>
              <w:t>[INSERT ORGANIZATION LOGO]</w:t>
            </w:r>
          </w:p>
        </w:tc>
        <w:tc>
          <w:tcPr>
            <w:tcW w:type="dxa" w:w="5040"/>
          </w:tcPr>
          <w:p>
            <w:r/>
            <w:r>
              <w:rPr>
                <w:rFonts w:ascii="Arial" w:hAnsi="Arial"/>
                <w:b/>
                <w:sz w:val="24"/>
              </w:rPr>
              <w:t>[Nom de l'organisation]</w:t>
            </w:r>
          </w:p>
          <w:p>
            <w:r>
              <w:rPr>
                <w:rFonts w:ascii="Arial" w:hAnsi="Arial"/>
                <w:b/>
                <w:color w:val="2E5FA3"/>
                <w:sz w:val="28"/>
              </w:rPr>
              <w:t>Politique de gestion des risques liés à la chaîne d'approvisionnement</w:t>
            </w:r>
          </w:p>
        </w:tc>
      </w:tr>
    </w:tbl>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r>
      <w:tr>
        <w:tc>
          <w:tcPr>
            <w:tcW w:type="dxa" w:w="2520"/>
          </w:tcPr>
          <w:p>
            <w:r/>
            <w:r>
              <w:rPr>
                <w:rFonts w:ascii="Arial" w:hAnsi="Arial"/>
                <w:b w:val="0"/>
                <w:sz w:val="20"/>
              </w:rPr>
              <w:t>Nom de la politique</w:t>
            </w:r>
          </w:p>
        </w:tc>
        <w:tc>
          <w:tcPr>
            <w:tcW w:type="dxa" w:w="2520"/>
          </w:tcPr>
          <w:p>
            <w:r/>
            <w:r>
              <w:rPr>
                <w:rFonts w:ascii="Arial" w:hAnsi="Arial"/>
                <w:b w:val="0"/>
                <w:sz w:val="20"/>
              </w:rPr>
              <w:t>Politique de gestion des risques liés à la chaîne d'approvisionnement</w:t>
            </w:r>
          </w:p>
        </w:tc>
        <w:tc>
          <w:tcPr>
            <w:tcW w:type="dxa" w:w="2520"/>
          </w:tcPr>
          <w:p>
            <w:r/>
            <w:r>
              <w:rPr>
                <w:rFonts w:ascii="Arial" w:hAnsi="Arial"/>
                <w:b w:val="0"/>
                <w:sz w:val="20"/>
              </w:rPr>
              <w:t>Version</w:t>
            </w:r>
          </w:p>
        </w:tc>
        <w:tc>
          <w:tcPr>
            <w:tcW w:type="dxa" w:w="2520"/>
          </w:tcPr>
          <w:p>
            <w:r/>
            <w:r>
              <w:rPr>
                <w:rFonts w:ascii="Arial" w:hAnsi="Arial"/>
                <w:b w:val="0"/>
                <w:sz w:val="20"/>
              </w:rPr>
              <w:t>[1.0]</w:t>
            </w:r>
          </w:p>
        </w:tc>
      </w:tr>
      <w:tr>
        <w:tc>
          <w:tcPr>
            <w:tcW w:type="dxa" w:w="2520"/>
          </w:tcPr>
          <w:p>
            <w:r/>
            <w:r>
              <w:rPr>
                <w:rFonts w:ascii="Arial" w:hAnsi="Arial"/>
                <w:b w:val="0"/>
                <w:sz w:val="20"/>
              </w:rPr>
              <w:t>Propriétaire de la politique</w:t>
            </w:r>
          </w:p>
        </w:tc>
        <w:tc>
          <w:tcPr>
            <w:tcW w:type="dxa" w:w="2520"/>
          </w:tcPr>
          <w:p>
            <w:r/>
            <w:r>
              <w:rPr>
                <w:rFonts w:ascii="Arial" w:hAnsi="Arial"/>
                <w:b w:val="0"/>
                <w:sz w:val="20"/>
              </w:rPr>
              <w:t>[Gestionnaire TI / ISSO]</w:t>
            </w:r>
          </w:p>
        </w:tc>
        <w:tc>
          <w:tcPr>
            <w:tcW w:type="dxa" w:w="2520"/>
          </w:tcPr>
          <w:p>
            <w:r/>
            <w:r>
              <w:rPr>
                <w:rFonts w:ascii="Arial" w:hAnsi="Arial"/>
                <w:b w:val="0"/>
                <w:sz w:val="20"/>
              </w:rPr>
              <w:t>Approuvée par</w:t>
            </w:r>
          </w:p>
        </w:tc>
        <w:tc>
          <w:tcPr>
            <w:tcW w:type="dxa" w:w="2520"/>
          </w:tcPr>
          <w:p>
            <w:r/>
            <w:r>
              <w:rPr>
                <w:rFonts w:ascii="Arial" w:hAnsi="Arial"/>
                <w:b w:val="0"/>
                <w:sz w:val="20"/>
              </w:rPr>
              <w:t>[PDG / RSSI]</w:t>
            </w:r>
          </w:p>
        </w:tc>
      </w:tr>
      <w:tr>
        <w:tc>
          <w:tcPr>
            <w:tcW w:type="dxa" w:w="2520"/>
          </w:tcPr>
          <w:p>
            <w:r/>
            <w:r>
              <w:rPr>
                <w:rFonts w:ascii="Arial" w:hAnsi="Arial"/>
                <w:b w:val="0"/>
                <w:sz w:val="20"/>
              </w:rPr>
              <w:t>Date d'entrée en vigueur</w:t>
            </w:r>
          </w:p>
        </w:tc>
        <w:tc>
          <w:tcPr>
            <w:tcW w:type="dxa" w:w="2520"/>
          </w:tcPr>
          <w:p>
            <w:r/>
            <w:r>
              <w:rPr>
                <w:rFonts w:ascii="Arial" w:hAnsi="Arial"/>
                <w:b w:val="0"/>
                <w:sz w:val="20"/>
              </w:rPr>
              <w:t>[AAAA-MM-JJ]</w:t>
            </w:r>
          </w:p>
        </w:tc>
        <w:tc>
          <w:tcPr>
            <w:tcW w:type="dxa" w:w="2520"/>
          </w:tcPr>
          <w:p>
            <w:r/>
            <w:r>
              <w:rPr>
                <w:rFonts w:ascii="Arial" w:hAnsi="Arial"/>
                <w:b w:val="0"/>
                <w:sz w:val="20"/>
              </w:rPr>
              <w:t>Dernière révision</w:t>
            </w:r>
          </w:p>
        </w:tc>
        <w:tc>
          <w:tcPr>
            <w:tcW w:type="dxa" w:w="2520"/>
          </w:tcPr>
          <w:p>
            <w:r/>
            <w:r>
              <w:rPr>
                <w:rFonts w:ascii="Arial" w:hAnsi="Arial"/>
                <w:b w:val="0"/>
                <w:sz w:val="20"/>
              </w:rPr>
              <w:t>[AAAA-MM-JJ]</w:t>
            </w:r>
          </w:p>
        </w:tc>
      </w:tr>
      <w:tr>
        <w:tc>
          <w:tcPr>
            <w:tcW w:type="dxa" w:w="2520"/>
          </w:tcPr>
          <w:p>
            <w:r/>
            <w:r>
              <w:rPr>
                <w:rFonts w:ascii="Arial" w:hAnsi="Arial"/>
                <w:b w:val="0"/>
                <w:sz w:val="20"/>
              </w:rPr>
              <w:t>Fréquence de révision</w:t>
            </w:r>
          </w:p>
        </w:tc>
        <w:tc>
          <w:tcPr>
            <w:tcW w:type="dxa" w:w="2520"/>
          </w:tcPr>
          <w:p>
            <w:r/>
            <w:r>
              <w:rPr>
                <w:rFonts w:ascii="Arial" w:hAnsi="Arial"/>
                <w:b w:val="0"/>
                <w:sz w:val="20"/>
              </w:rPr>
              <w:t>Annuelle (ou lors d'un changement majeur)</w:t>
            </w:r>
          </w:p>
        </w:tc>
        <w:tc>
          <w:tcPr>
            <w:tcW w:type="dxa" w:w="2520"/>
          </w:tcPr>
          <w:p>
            <w:r/>
            <w:r>
              <w:rPr>
                <w:rFonts w:ascii="Arial" w:hAnsi="Arial"/>
                <w:b w:val="0"/>
                <w:sz w:val="20"/>
              </w:rPr>
              <w:t>Classification</w:t>
            </w:r>
          </w:p>
        </w:tc>
        <w:tc>
          <w:tcPr>
            <w:tcW w:type="dxa" w:w="2520"/>
          </w:tcPr>
          <w:p>
            <w:r/>
            <w:r>
              <w:rPr>
                <w:rFonts w:ascii="Arial" w:hAnsi="Arial"/>
                <w:b w:val="0"/>
                <w:sz w:val="20"/>
              </w:rPr>
              <w:t>[CUI / Interne]</w:t>
            </w:r>
          </w:p>
        </w:tc>
      </w:tr>
    </w:tbl>
    <w:p/>
    <w:p>
      <w:pPr>
        <w:spacing w:before="200" w:after="80"/>
      </w:pPr>
      <w:r>
        <w:rPr>
          <w:rFonts w:ascii="Arial" w:hAnsi="Arial"/>
          <w:b/>
          <w:color w:val="2E5FA3"/>
          <w:sz w:val="26"/>
        </w:rPr>
        <w:t>1.  Objet</w:t>
      </w:r>
    </w:p>
    <w:p>
      <w:r>
        <w:rPr>
          <w:rFonts w:ascii="Arial" w:hAnsi="Arial"/>
          <w:sz w:val="21"/>
        </w:rPr>
        <w:t>La présente politique établit comment [Nom de l'organisation] gère le risque de cybersécurité découlant de ses fournisseurs, de ses produits et de l'ensemble de la chaîne d'approvisionnement pour les systèmes et services qui traitent de l'information contrôlée non classifiée (CUI). Des fournisseurs ou composants compromis ou non fiables peuvent miner même de solides contrôles internes. Cette politique définit la planification du risque lié à la chaîne d'approvisionnement, les exigences envers les fournisseurs et les pratiques d'acquisition.</w:t>
      </w:r>
    </w:p>
    <w:p>
      <w:pPr>
        <w:spacing w:before="200" w:after="80"/>
      </w:pPr>
      <w:r>
        <w:rPr>
          <w:rFonts w:ascii="Arial" w:hAnsi="Arial"/>
          <w:b/>
          <w:color w:val="2E5FA3"/>
          <w:sz w:val="26"/>
        </w:rPr>
        <w:t>2.  Portée</w:t>
      </w:r>
    </w:p>
    <w:p>
      <w:r>
        <w:rPr>
          <w:rFonts w:ascii="Arial" w:hAnsi="Arial"/>
          <w:sz w:val="21"/>
        </w:rPr>
        <w:t>La présente politique s'applique à :</w:t>
      </w:r>
    </w:p>
    <w:p>
      <w:pPr>
        <w:ind w:left="360"/>
      </w:pPr>
      <w:r>
        <w:rPr>
          <w:rFonts w:ascii="Arial" w:hAnsi="Arial"/>
          <w:sz w:val="21"/>
        </w:rPr>
        <w:t>•  Les fournisseurs, manufacturiers et prestataires dont les produits ou services touchent les CUI ou les systèmes visés.</w:t>
      </w:r>
    </w:p>
    <w:p>
      <w:pPr>
        <w:ind w:left="360"/>
      </w:pPr>
      <w:r>
        <w:rPr>
          <w:rFonts w:ascii="Arial" w:hAnsi="Arial"/>
          <w:sz w:val="21"/>
        </w:rPr>
        <w:t>•  Les stratégies, outils et méthodes d'acquisition utilisés pour obtenir ces produits et services.</w:t>
      </w:r>
    </w:p>
    <w:p>
      <w:pPr>
        <w:ind w:left="360"/>
      </w:pPr>
      <w:r>
        <w:rPr>
          <w:rFonts w:ascii="Arial" w:hAnsi="Arial"/>
          <w:sz w:val="21"/>
        </w:rPr>
        <w:t>•  La gestion continue des relations et exigences de la chaîne d'approvisionnement.</w:t>
      </w:r>
    </w:p>
    <w:p>
      <w:r>
        <w:rPr>
          <w:rFonts w:ascii="Arial" w:hAnsi="Arial"/>
          <w:sz w:val="21"/>
        </w:rPr>
        <w:t>Lorsque des CUI sont en cause, les exigences de la présente politique sont obligatoires et prévalent sur la commodité ou les préférences opérationnelles.</w:t>
      </w:r>
    </w:p>
    <w:p>
      <w:pPr>
        <w:spacing w:before="200" w:after="80"/>
      </w:pPr>
      <w:r>
        <w:rPr>
          <w:rFonts w:ascii="Arial" w:hAnsi="Arial"/>
          <w:b/>
          <w:color w:val="2E5FA3"/>
          <w:sz w:val="26"/>
        </w:rPr>
        <w:t>3.  Définitions</w:t>
      </w:r>
    </w:p>
    <w:p>
      <w:r>
        <w:rPr>
          <w:rFonts w:ascii="Arial" w:hAnsi="Arial"/>
          <w:b/>
          <w:sz w:val="21"/>
        </w:rPr>
        <w:t xml:space="preserve">Chaîne d'approvisionnement: </w:t>
      </w:r>
      <w:r>
        <w:rPr>
          <w:rFonts w:ascii="Arial" w:hAnsi="Arial"/>
          <w:sz w:val="21"/>
        </w:rPr>
        <w:t>Le réseau de fournisseurs, produits et services qui contribuent aux systèmes de l'organisation.</w:t>
      </w:r>
    </w:p>
    <w:p>
      <w:r>
        <w:rPr>
          <w:rFonts w:ascii="Arial" w:hAnsi="Arial"/>
          <w:b/>
          <w:sz w:val="21"/>
        </w:rPr>
        <w:t xml:space="preserve">Risque lié à la chaîne d'approvisionnement: </w:t>
      </w:r>
      <w:r>
        <w:rPr>
          <w:rFonts w:ascii="Arial" w:hAnsi="Arial"/>
          <w:sz w:val="21"/>
        </w:rPr>
        <w:t>Le risque qu'un fournisseur, produit ou service introduise une vulnérabilité ou une compromission.</w:t>
      </w:r>
    </w:p>
    <w:p>
      <w:r>
        <w:rPr>
          <w:rFonts w:ascii="Arial" w:hAnsi="Arial"/>
          <w:b/>
          <w:sz w:val="21"/>
        </w:rPr>
        <w:t xml:space="preserve">Exigences envers les fournisseurs: </w:t>
      </w:r>
      <w:r>
        <w:rPr>
          <w:rFonts w:ascii="Arial" w:hAnsi="Arial"/>
          <w:sz w:val="21"/>
        </w:rPr>
        <w:t>Obligations de sécurité imposées aux fournisseurs (p. ex. transfert des exigences de protection des CUI).</w:t>
      </w:r>
    </w:p>
    <w:p>
      <w:r>
        <w:rPr>
          <w:rFonts w:ascii="Arial" w:hAnsi="Arial"/>
          <w:b/>
          <w:sz w:val="21"/>
        </w:rPr>
        <w:t xml:space="preserve">Provenance: </w:t>
      </w:r>
      <w:r>
        <w:rPr>
          <w:rFonts w:ascii="Arial" w:hAnsi="Arial"/>
          <w:sz w:val="21"/>
        </w:rPr>
        <w:t>Connaissance de l'origine et de la chaîne de possession d'un produit ou composant.</w:t>
      </w:r>
    </w:p>
    <w:p>
      <w:pPr>
        <w:spacing w:before="200" w:after="80"/>
      </w:pPr>
      <w:r>
        <w:rPr>
          <w:rFonts w:ascii="Arial" w:hAnsi="Arial"/>
          <w:b/>
          <w:color w:val="2E5FA3"/>
          <w:sz w:val="26"/>
        </w:rPr>
        <w:t>4.  Rôles et responsabilités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shd w:val="clear" w:color="auto" w:fill="1B3A6B"/>
          </w:tcPr>
          <w:p>
            <w:r/>
            <w:r>
              <w:rPr>
                <w:rFonts w:ascii="Arial" w:hAnsi="Arial"/>
                <w:b/>
                <w:color w:val="FFFFFF"/>
                <w:sz w:val="20"/>
              </w:rPr>
              <w:t>Rôle</w:t>
            </w:r>
          </w:p>
        </w:tc>
        <w:tc>
          <w:tcPr>
            <w:tcW w:type="dxa" w:w="5040"/>
            <w:shd w:val="clear" w:color="auto" w:fill="1B3A6B"/>
          </w:tcPr>
          <w:p>
            <w:r/>
            <w:r>
              <w:rPr>
                <w:rFonts w:ascii="Arial" w:hAnsi="Arial"/>
                <w:b/>
                <w:color w:val="FFFFFF"/>
                <w:sz w:val="20"/>
              </w:rPr>
              <w:t>Principales responsabilités</w:t>
            </w:r>
          </w:p>
        </w:tc>
      </w:tr>
      <w:tr>
        <w:tc>
          <w:tcPr>
            <w:tcW w:type="dxa" w:w="5040"/>
          </w:tcPr>
          <w:p>
            <w:r/>
            <w:r>
              <w:rPr>
                <w:rFonts w:ascii="Arial" w:hAnsi="Arial"/>
                <w:b w:val="0"/>
                <w:sz w:val="20"/>
              </w:rPr>
              <w:t>[Gestionnaire TI / ISSO]</w:t>
            </w:r>
          </w:p>
        </w:tc>
        <w:tc>
          <w:tcPr>
            <w:tcW w:type="dxa" w:w="5040"/>
          </w:tcPr>
          <w:p>
            <w:r/>
            <w:r>
              <w:rPr>
                <w:rFonts w:ascii="Arial" w:hAnsi="Arial"/>
                <w:b w:val="0"/>
                <w:sz w:val="20"/>
              </w:rPr>
              <w:t>Être propriétaire de la politique; tenir le plan de risque; fixer les exigences de sécurité des fournisseurs; évaluer le risque des fournisseurs.</w:t>
            </w:r>
          </w:p>
        </w:tc>
      </w:tr>
      <w:tr>
        <w:tc>
          <w:tcPr>
            <w:tcW w:type="dxa" w:w="5040"/>
          </w:tcPr>
          <w:p>
            <w:r/>
            <w:r>
              <w:rPr>
                <w:rFonts w:ascii="Arial" w:hAnsi="Arial"/>
                <w:b w:val="0"/>
                <w:sz w:val="20"/>
              </w:rPr>
              <w:t>[Approvisionnement]</w:t>
            </w:r>
          </w:p>
        </w:tc>
        <w:tc>
          <w:tcPr>
            <w:tcW w:type="dxa" w:w="5040"/>
          </w:tcPr>
          <w:p>
            <w:r/>
            <w:r>
              <w:rPr>
                <w:rFonts w:ascii="Arial" w:hAnsi="Arial"/>
                <w:b w:val="0"/>
                <w:sz w:val="20"/>
              </w:rPr>
              <w:t>Appliquer les stratégies d'acquisition approuvées; transférer les exigences dans les contrats; obtenir les attestations.</w:t>
            </w:r>
          </w:p>
        </w:tc>
      </w:tr>
      <w:tr>
        <w:tc>
          <w:tcPr>
            <w:tcW w:type="dxa" w:w="5040"/>
          </w:tcPr>
          <w:p>
            <w:r/>
            <w:r>
              <w:rPr>
                <w:rFonts w:ascii="Arial" w:hAnsi="Arial"/>
                <w:b w:val="0"/>
                <w:sz w:val="20"/>
              </w:rPr>
              <w:t>[Haute direction / RSSI]</w:t>
            </w:r>
          </w:p>
        </w:tc>
        <w:tc>
          <w:tcPr>
            <w:tcW w:type="dxa" w:w="5040"/>
          </w:tcPr>
          <w:p>
            <w:r/>
            <w:r>
              <w:rPr>
                <w:rFonts w:ascii="Arial" w:hAnsi="Arial"/>
                <w:b w:val="0"/>
                <w:sz w:val="20"/>
              </w:rPr>
              <w:t>Approuver la politique; accepter le risque résiduel de la chaîne d'approvisionnement.</w:t>
            </w:r>
          </w:p>
        </w:tc>
      </w:tr>
      <w:tr>
        <w:tc>
          <w:tcPr>
            <w:tcW w:type="dxa" w:w="5040"/>
          </w:tcPr>
          <w:p>
            <w:r/>
            <w:r>
              <w:rPr>
                <w:rFonts w:ascii="Arial" w:hAnsi="Arial"/>
                <w:b w:val="0"/>
                <w:sz w:val="20"/>
              </w:rPr>
              <w:t>Tous les utilisateurs</w:t>
            </w:r>
          </w:p>
        </w:tc>
        <w:tc>
          <w:tcPr>
            <w:tcW w:type="dxa" w:w="5040"/>
          </w:tcPr>
          <w:p>
            <w:r/>
            <w:r>
              <w:rPr>
                <w:rFonts w:ascii="Arial" w:hAnsi="Arial"/>
                <w:b w:val="0"/>
                <w:sz w:val="20"/>
              </w:rPr>
              <w:t>N'utiliser que des fournisseurs/produits approuvés; signaler les préoccupations.</w:t>
            </w:r>
          </w:p>
        </w:tc>
      </w:tr>
    </w:tbl>
    <w:p/>
    <w:p>
      <w:pPr>
        <w:spacing w:before="200" w:after="80"/>
      </w:pPr>
      <w:r>
        <w:rPr>
          <w:rFonts w:ascii="Arial" w:hAnsi="Arial"/>
          <w:b/>
          <w:color w:val="2E5FA3"/>
          <w:sz w:val="26"/>
        </w:rPr>
        <w:t>5.  Énoncés de politique</w:t>
      </w:r>
    </w:p>
    <w:p>
      <w:r>
        <w:rPr>
          <w:rFonts w:ascii="Arial" w:hAnsi="Arial"/>
          <w:b/>
          <w:color w:val="2E5FA3"/>
          <w:sz w:val="21"/>
        </w:rPr>
        <w:t>PS-1  Plan de gestion des risques de la chaîne d'approvisionnement</w:t>
      </w:r>
    </w:p>
    <w:p>
      <w:r>
        <w:rPr>
          <w:rFonts w:ascii="Arial" w:hAnsi="Arial"/>
          <w:sz w:val="21"/>
        </w:rPr>
        <w:t>[Nom de l'organisation] doit élaborer et maintenir un plan de gestion du risque de cybersécurité de la chaîne d'approvisionnement, cernant les fournisseurs/composants critiques et les contrôles appliqués pour gérer leur risque.</w:t>
      </w:r>
    </w:p>
    <w:p>
      <w:r>
        <w:rPr>
          <w:rFonts w:ascii="Arial" w:hAnsi="Arial"/>
          <w:b/>
          <w:color w:val="2E5FA3"/>
          <w:sz w:val="21"/>
        </w:rPr>
        <w:t>PS-2  Stratégies, outils et méthodes d'acquisition</w:t>
      </w:r>
    </w:p>
    <w:p>
      <w:r>
        <w:rPr>
          <w:rFonts w:ascii="Arial" w:hAnsi="Arial"/>
          <w:sz w:val="21"/>
        </w:rPr>
        <w:t>L'organisation doit utiliser des stratégies, outils et méthodes d'acquisition qui réduisent le risque de la chaîne d'approvisionnement (p. ex. acheter de sources de confiance, exiger des attestations de sécurité, vérifier la provenance lorsque possible).</w:t>
      </w:r>
    </w:p>
    <w:p>
      <w:r>
        <w:rPr>
          <w:rFonts w:ascii="Arial" w:hAnsi="Arial"/>
          <w:b/>
          <w:color w:val="2E5FA3"/>
          <w:sz w:val="21"/>
        </w:rPr>
        <w:t>PS-3  Exigences envers les fournisseurs et transfert</w:t>
      </w:r>
    </w:p>
    <w:p>
      <w:r>
        <w:rPr>
          <w:rFonts w:ascii="Arial" w:hAnsi="Arial"/>
          <w:sz w:val="21"/>
        </w:rPr>
        <w:t>Des exigences de sécurité et de protection des CUI doivent être définies pour les fournisseurs traitant des CUI ou fournissant des composants visés, et transférées par contrat; la conformité des fournisseurs doit être vérifiée.</w:t>
      </w:r>
    </w:p>
    <w:p>
      <w:r>
        <w:rPr>
          <w:rFonts w:ascii="Arial" w:hAnsi="Arial"/>
          <w:b/>
          <w:color w:val="2E5FA3"/>
          <w:sz w:val="21"/>
        </w:rPr>
        <w:t>PS-4  Évaluation du risque des fournisseurs</w:t>
      </w:r>
    </w:p>
    <w:p>
      <w:r>
        <w:rPr>
          <w:rFonts w:ascii="Arial" w:hAnsi="Arial"/>
          <w:sz w:val="21"/>
        </w:rPr>
        <w:t>Les fournisseurs et produits touchant les CUI doivent être évalués quant au risque avant l'engagement et périodiquement par la suite, et les réponses au risque documentées.</w:t>
      </w:r>
    </w:p>
    <w:p>
      <w:r>
        <w:rPr>
          <w:rFonts w:ascii="Arial" w:hAnsi="Arial"/>
          <w:b/>
          <w:color w:val="2E5FA3"/>
          <w:sz w:val="21"/>
        </w:rPr>
        <w:t>PS-5  Surveillance continue</w:t>
      </w:r>
    </w:p>
    <w:p>
      <w:r>
        <w:rPr>
          <w:rFonts w:ascii="Arial" w:hAnsi="Arial"/>
          <w:sz w:val="21"/>
        </w:rPr>
        <w:t>Les relations de la chaîne d'approvisionnement doivent être surveillées pour détecter les changements de risque (p. ex. atteintes chez un fournisseur, fin de prise en charge), avec action au besoin.</w:t>
      </w:r>
    </w:p>
    <w:p>
      <w:pPr>
        <w:spacing w:before="200" w:after="80"/>
      </w:pPr>
      <w:r>
        <w:rPr>
          <w:rFonts w:ascii="Arial" w:hAnsi="Arial"/>
          <w:b/>
          <w:color w:val="2E5FA3"/>
          <w:sz w:val="26"/>
        </w:rPr>
        <w:t>6.  Procédures et preuves d'audit</w:t>
      </w:r>
    </w:p>
    <w:p>
      <w:r>
        <w:rPr>
          <w:rFonts w:ascii="Arial" w:hAnsi="Arial"/>
          <w:sz w:val="21"/>
        </w:rPr>
        <w:t>6.1  Planifier et exiger</w:t>
      </w:r>
    </w:p>
    <w:p>
      <w:pPr>
        <w:ind w:left="360"/>
      </w:pPr>
      <w:r>
        <w:rPr>
          <w:rFonts w:ascii="Arial" w:hAnsi="Arial"/>
          <w:sz w:val="21"/>
        </w:rPr>
        <w:t>•  Tenir le plan de risque; cerner les fournisseurs/composants critiques.</w:t>
      </w:r>
    </w:p>
    <w:p>
      <w:pPr>
        <w:ind w:left="360"/>
      </w:pPr>
      <w:r>
        <w:rPr>
          <w:rFonts w:ascii="Arial" w:hAnsi="Arial"/>
          <w:sz w:val="21"/>
        </w:rPr>
        <w:t>•  Définir et transférer les exigences de sécurité/CUI des fournisseurs; obtenir les attestations.</w:t>
      </w:r>
    </w:p>
    <w:p>
      <w:r>
        <w:rPr>
          <w:rFonts w:ascii="Arial" w:hAnsi="Arial"/>
          <w:b/>
          <w:sz w:val="21"/>
        </w:rPr>
        <w:t xml:space="preserve">Preuves d'audit : </w:t>
      </w:r>
      <w:r>
        <w:rPr>
          <w:rFonts w:ascii="Arial" w:hAnsi="Arial"/>
          <w:sz w:val="21"/>
        </w:rPr>
        <w:t>Plan de risque de la chaîne d'approvisionnement; exigences dans les contrats; attestations des fournisseurs.</w:t>
      </w:r>
    </w:p>
    <w:p>
      <w:r>
        <w:rPr>
          <w:rFonts w:ascii="Arial" w:hAnsi="Arial"/>
          <w:sz w:val="21"/>
        </w:rPr>
        <w:t>6.2  Évaluer et surveiller</w:t>
      </w:r>
    </w:p>
    <w:p>
      <w:pPr>
        <w:ind w:left="360"/>
      </w:pPr>
      <w:r>
        <w:rPr>
          <w:rFonts w:ascii="Arial" w:hAnsi="Arial"/>
          <w:sz w:val="21"/>
        </w:rPr>
        <w:t>•  Évaluer le risque des fournisseurs/produits avant l'engagement et périodiquement.</w:t>
      </w:r>
    </w:p>
    <w:p>
      <w:pPr>
        <w:ind w:left="360"/>
      </w:pPr>
      <w:r>
        <w:rPr>
          <w:rFonts w:ascii="Arial" w:hAnsi="Arial"/>
          <w:sz w:val="21"/>
        </w:rPr>
        <w:t>•  Surveiller les changements de risque; réagir au besoin.</w:t>
      </w:r>
    </w:p>
    <w:p>
      <w:r>
        <w:rPr>
          <w:rFonts w:ascii="Arial" w:hAnsi="Arial"/>
          <w:b/>
          <w:sz w:val="21"/>
        </w:rPr>
        <w:t xml:space="preserve">Preuves d'audit : </w:t>
      </w:r>
      <w:r>
        <w:rPr>
          <w:rFonts w:ascii="Arial" w:hAnsi="Arial"/>
          <w:sz w:val="21"/>
        </w:rPr>
        <w:t>Évaluations de risque des fournisseurs; registres de surveillance; décisions de réponse au risque.</w:t>
      </w:r>
    </w:p>
    <w:p>
      <w:pPr>
        <w:spacing w:before="200" w:after="80"/>
      </w:pPr>
      <w:r>
        <w:rPr>
          <w:rFonts w:ascii="Arial" w:hAnsi="Arial"/>
          <w:b/>
          <w:color w:val="2E5FA3"/>
          <w:sz w:val="26"/>
        </w:rPr>
        <w:t>7.  Conformité, surveillance et application</w:t>
      </w:r>
    </w:p>
    <w:p>
      <w:r>
        <w:rPr>
          <w:rFonts w:ascii="Arial" w:hAnsi="Arial"/>
          <w:sz w:val="21"/>
        </w:rPr>
        <w:t>Le [Gestionnaire TI / ISSO] doit examiner la conformité à la présente politique au moins [trimestriellement] en vérifiant qu'un plan de risque de la chaîne d'approvisionnement existe, que les exigences de sécurité/CUI des fournisseurs sont transférées et vérifiées, et que le risque des fournisseurs est évalué et surveillé. Les résultats doivent être communiqués à la [haute direction / au RSSI].</w:t>
      </w:r>
    </w:p>
    <w:p>
      <w:r>
        <w:rPr>
          <w:rFonts w:ascii="Arial" w:hAnsi="Arial"/>
          <w:sz w:val="21"/>
        </w:rPr>
        <w:t>Les manquements peuvent entraîner :</w:t>
      </w:r>
    </w:p>
    <w:p>
      <w:pPr>
        <w:ind w:left="360"/>
      </w:pPr>
      <w:r>
        <w:rPr>
          <w:rFonts w:ascii="Arial" w:hAnsi="Arial"/>
          <w:sz w:val="21"/>
        </w:rPr>
        <w:t>•  La correction de la lacune dans un délai fixé par le propriétaire de la politique en fonction du risque.</w:t>
      </w:r>
    </w:p>
    <w:p>
      <w:pPr>
        <w:ind w:left="360"/>
      </w:pPr>
      <w:r>
        <w:rPr>
          <w:rFonts w:ascii="Arial" w:hAnsi="Arial"/>
          <w:sz w:val="21"/>
        </w:rPr>
        <w:t>•  Des mesures disciplinaires pouvant aller jusqu'au congédiement ou à la résiliation du contrat, conformément aux procédures disciplinaires de [Nom de l'organisation].</w:t>
      </w:r>
    </w:p>
    <w:p>
      <w:pPr>
        <w:ind w:left="360"/>
      </w:pPr>
      <w:r>
        <w:rPr>
          <w:rFonts w:ascii="Arial" w:hAnsi="Arial"/>
          <w:sz w:val="21"/>
        </w:rPr>
        <w:t>•  Un renvoi aux forces de l'ordre et un avis aux agents de contrats gouvernementaux lorsque des CUI ou une activité criminelle sont en cause, comme l'exige le contrat ou le règlement applicable.</w:t>
      </w:r>
    </w:p>
    <w:p>
      <w:pPr>
        <w:spacing w:before="200" w:after="80"/>
      </w:pPr>
      <w:r>
        <w:rPr>
          <w:rFonts w:ascii="Arial" w:hAnsi="Arial"/>
          <w:b/>
          <w:color w:val="2E5FA3"/>
          <w:sz w:val="26"/>
        </w:rPr>
        <w:t>8.  Exceptions</w:t>
      </w:r>
    </w:p>
    <w:p>
      <w:r>
        <w:rPr>
          <w:rFonts w:ascii="Arial" w:hAnsi="Arial"/>
          <w:sz w:val="21"/>
        </w:rPr>
        <w:t>Les exceptions à la présente politique doivent demeurer rares. Pour en demander une :</w:t>
      </w:r>
    </w:p>
    <w:p>
      <w:pPr>
        <w:ind w:left="360"/>
      </w:pPr>
      <w:r>
        <w:rPr>
          <w:rFonts w:ascii="Arial" w:hAnsi="Arial"/>
          <w:sz w:val="21"/>
        </w:rPr>
        <w:t>•  Le demandeur soumet une demande d'exception écrite au propriétaire de la politique décrivant l'exigence qui ne peut être respectée, la justification d'affaires, le risque introduit et les contrôles compensatoires proposés.</w:t>
      </w:r>
    </w:p>
    <w:p>
      <w:pPr>
        <w:ind w:left="360"/>
      </w:pPr>
      <w:r>
        <w:rPr>
          <w:rFonts w:ascii="Arial" w:hAnsi="Arial"/>
          <w:sz w:val="21"/>
        </w:rPr>
        <w:t>•  Le propriétaire de la politique évalue le risque et prépare une recommandation; la [haute direction / le RSSI] approuve ou refuse l'exception par écrit.</w:t>
      </w:r>
    </w:p>
    <w:p>
      <w:pPr>
        <w:ind w:left="360"/>
      </w:pPr>
      <w:r>
        <w:rPr>
          <w:rFonts w:ascii="Arial" w:hAnsi="Arial"/>
          <w:sz w:val="21"/>
        </w:rPr>
        <w:t>•  Les exceptions approuvées sont consignées au registre des exceptions avec une expiration d'au plus [défini par l'organisation : 12 mois; recommandé : 12 mois], révisées à l'échéance et reflétées comme élément d'un plan d'action et de jalons (POA&amp;M) dans le SSP lorsque des systèmes contenant des CUI sont touchés.</w:t>
      </w:r>
    </w:p>
    <w:p>
      <w:pPr>
        <w:spacing w:before="200" w:after="80"/>
      </w:pPr>
      <w:r>
        <w:rPr>
          <w:rFonts w:ascii="Arial" w:hAnsi="Arial"/>
          <w:b/>
          <w:color w:val="2E5FA3"/>
          <w:sz w:val="26"/>
        </w:rPr>
        <w:t>9.  Documents connexes</w:t>
      </w:r>
    </w:p>
    <w:p>
      <w:pPr>
        <w:ind w:left="360"/>
      </w:pPr>
      <w:r>
        <w:rPr>
          <w:rFonts w:ascii="Arial" w:hAnsi="Arial"/>
          <w:sz w:val="21"/>
        </w:rPr>
        <w:t>•  Politique d'acquisition des systèmes et des services — acquisition sécurisée des systèmes et services.</w:t>
      </w:r>
    </w:p>
    <w:p>
      <w:pPr>
        <w:ind w:left="360"/>
      </w:pPr>
      <w:r>
        <w:rPr>
          <w:rFonts w:ascii="Arial" w:hAnsi="Arial"/>
          <w:sz w:val="21"/>
        </w:rPr>
        <w:t>•  Politique d'évaluation des risques — risque des fournisseurs et des produits.</w:t>
      </w:r>
    </w:p>
    <w:p>
      <w:pPr>
        <w:ind w:left="360"/>
      </w:pPr>
      <w:r>
        <w:rPr>
          <w:rFonts w:ascii="Arial" w:hAnsi="Arial"/>
          <w:sz w:val="21"/>
        </w:rPr>
        <w:t>•  Politique de gestion de la configuration — inventaire des composants et provenance.</w:t>
      </w:r>
    </w:p>
    <w:p>
      <w:pPr>
        <w:ind w:left="360"/>
      </w:pPr>
      <w:r>
        <w:rPr>
          <w:rFonts w:ascii="Arial" w:hAnsi="Arial"/>
          <w:sz w:val="21"/>
        </w:rPr>
        <w:t>•  Plan de sécurité du système (SSP) — services externes dans le périmètre.</w:t>
      </w:r>
    </w:p>
    <w:p>
      <w:pPr>
        <w:spacing w:before="200" w:after="80"/>
      </w:pPr>
      <w:r>
        <w:rPr>
          <w:rFonts w:ascii="Arial" w:hAnsi="Arial"/>
          <w:b/>
          <w:color w:val="2E5FA3"/>
          <w:sz w:val="26"/>
        </w:rPr>
        <w:t>10.  Correspondance des contrôles</w:t>
      </w:r>
    </w:p>
    <w:p>
      <w:r>
        <w:rPr>
          <w:rFonts w:ascii="Arial" w:hAnsi="Arial"/>
          <w:sz w:val="21"/>
        </w:rPr>
        <w:t>Les identifiants proviennent du NIST SP 800-171 Rev 3 (famille 03.17); ils s'appliquent également au CMMC 2.0 niveau 2 et à l'ITSP.10.171 (CPCSC).</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shd w:val="clear" w:color="auto" w:fill="1B3A6B"/>
          </w:tcPr>
          <w:p>
            <w:r/>
            <w:r>
              <w:rPr>
                <w:rFonts w:ascii="Arial" w:hAnsi="Arial"/>
                <w:b/>
                <w:color w:val="FFFFFF"/>
                <w:sz w:val="20"/>
              </w:rPr>
              <w:t>ID du contrôle</w:t>
            </w:r>
          </w:p>
        </w:tc>
        <w:tc>
          <w:tcPr>
            <w:tcW w:type="dxa" w:w="3360"/>
            <w:shd w:val="clear" w:color="auto" w:fill="1B3A6B"/>
          </w:tcPr>
          <w:p>
            <w:r/>
            <w:r>
              <w:rPr>
                <w:rFonts w:ascii="Arial" w:hAnsi="Arial"/>
                <w:b/>
                <w:color w:val="FFFFFF"/>
                <w:sz w:val="20"/>
              </w:rPr>
              <w:t>Énoncé(s) de politique</w:t>
            </w:r>
          </w:p>
        </w:tc>
        <w:tc>
          <w:tcPr>
            <w:tcW w:type="dxa" w:w="3360"/>
            <w:shd w:val="clear" w:color="auto" w:fill="1B3A6B"/>
          </w:tcPr>
          <w:p>
            <w:r/>
            <w:r>
              <w:rPr>
                <w:rFonts w:ascii="Arial" w:hAnsi="Arial"/>
                <w:b/>
                <w:color w:val="FFFFFF"/>
                <w:sz w:val="20"/>
              </w:rPr>
              <w:t>Preuves d'audit attendues</w:t>
            </w:r>
          </w:p>
        </w:tc>
      </w:tr>
      <w:tr>
        <w:tc>
          <w:tcPr>
            <w:tcW w:type="dxa" w:w="3360"/>
          </w:tcPr>
          <w:p>
            <w:r/>
            <w:r>
              <w:rPr>
                <w:rFonts w:ascii="Arial" w:hAnsi="Arial"/>
                <w:b w:val="0"/>
                <w:sz w:val="20"/>
              </w:rPr>
              <w:t>03.17.01  Plan de gestion des risques de la chaîne d'approvisionnement</w:t>
            </w:r>
          </w:p>
        </w:tc>
        <w:tc>
          <w:tcPr>
            <w:tcW w:type="dxa" w:w="3360"/>
          </w:tcPr>
          <w:p>
            <w:r/>
            <w:r>
              <w:rPr>
                <w:rFonts w:ascii="Arial" w:hAnsi="Arial"/>
                <w:b w:val="0"/>
                <w:sz w:val="20"/>
              </w:rPr>
              <w:t>PS-1 — plan GRCA</w:t>
            </w:r>
          </w:p>
        </w:tc>
        <w:tc>
          <w:tcPr>
            <w:tcW w:type="dxa" w:w="3360"/>
          </w:tcPr>
          <w:p>
            <w:r/>
            <w:r>
              <w:rPr>
                <w:rFonts w:ascii="Arial" w:hAnsi="Arial"/>
                <w:b w:val="0"/>
                <w:sz w:val="20"/>
              </w:rPr>
              <w:t>Plan de risque de la chaîne d'approvisionnement (daté)</w:t>
            </w:r>
          </w:p>
        </w:tc>
      </w:tr>
      <w:tr>
        <w:tc>
          <w:tcPr>
            <w:tcW w:type="dxa" w:w="3360"/>
          </w:tcPr>
          <w:p>
            <w:r/>
            <w:r>
              <w:rPr>
                <w:rFonts w:ascii="Arial" w:hAnsi="Arial"/>
                <w:b w:val="0"/>
                <w:sz w:val="20"/>
              </w:rPr>
              <w:t>03.17.02  Stratégies, outils et méthodes d'acquisition</w:t>
            </w:r>
          </w:p>
        </w:tc>
        <w:tc>
          <w:tcPr>
            <w:tcW w:type="dxa" w:w="3360"/>
          </w:tcPr>
          <w:p>
            <w:r/>
            <w:r>
              <w:rPr>
                <w:rFonts w:ascii="Arial" w:hAnsi="Arial"/>
                <w:b w:val="0"/>
                <w:sz w:val="20"/>
              </w:rPr>
              <w:t>PS-2 — acquisition réductrice de risque</w:t>
            </w:r>
          </w:p>
        </w:tc>
        <w:tc>
          <w:tcPr>
            <w:tcW w:type="dxa" w:w="3360"/>
          </w:tcPr>
          <w:p>
            <w:r/>
            <w:r>
              <w:rPr>
                <w:rFonts w:ascii="Arial" w:hAnsi="Arial"/>
                <w:b w:val="0"/>
                <w:sz w:val="20"/>
              </w:rPr>
              <w:t>Stratégie d'acquisition; preuves de sources de confiance</w:t>
            </w:r>
          </w:p>
        </w:tc>
      </w:tr>
      <w:tr>
        <w:tc>
          <w:tcPr>
            <w:tcW w:type="dxa" w:w="3360"/>
          </w:tcPr>
          <w:p>
            <w:r/>
            <w:r>
              <w:rPr>
                <w:rFonts w:ascii="Arial" w:hAnsi="Arial"/>
                <w:b w:val="0"/>
                <w:sz w:val="20"/>
              </w:rPr>
              <w:t>03.17.03  Exigences et processus de la chaîne d'approvisionnement</w:t>
            </w:r>
          </w:p>
        </w:tc>
        <w:tc>
          <w:tcPr>
            <w:tcW w:type="dxa" w:w="3360"/>
          </w:tcPr>
          <w:p>
            <w:r/>
            <w:r>
              <w:rPr>
                <w:rFonts w:ascii="Arial" w:hAnsi="Arial"/>
                <w:b w:val="0"/>
                <w:sz w:val="20"/>
              </w:rPr>
              <w:t>PS-3, PS-4, PS-5 — exigences, évaluation, surveillance</w:t>
            </w:r>
          </w:p>
        </w:tc>
        <w:tc>
          <w:tcPr>
            <w:tcW w:type="dxa" w:w="3360"/>
          </w:tcPr>
          <w:p>
            <w:r/>
            <w:r>
              <w:rPr>
                <w:rFonts w:ascii="Arial" w:hAnsi="Arial"/>
                <w:b w:val="0"/>
                <w:sz w:val="20"/>
              </w:rPr>
              <w:t>Exigences/attestations des fournisseurs; évaluations; registres de surveillance</w:t>
            </w:r>
          </w:p>
        </w:tc>
      </w:tr>
    </w:tbl>
    <w:p/>
    <w:p>
      <w:pPr>
        <w:spacing w:before="200" w:after="80"/>
      </w:pPr>
      <w:r>
        <w:rPr>
          <w:rFonts w:ascii="Arial" w:hAnsi="Arial"/>
          <w:b/>
          <w:color w:val="2E5FA3"/>
          <w:sz w:val="26"/>
        </w:rPr>
        <w:t>11.  Historique des révisions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Version</w:t>
            </w:r>
          </w:p>
        </w:tc>
        <w:tc>
          <w:tcPr>
            <w:tcW w:type="dxa" w:w="2520"/>
            <w:shd w:val="clear" w:color="auto" w:fill="1B3A6B"/>
          </w:tcPr>
          <w:p>
            <w:r/>
            <w:r>
              <w:rPr>
                <w:rFonts w:ascii="Arial" w:hAnsi="Arial"/>
                <w:b/>
                <w:color w:val="FFFFFF"/>
                <w:sz w:val="20"/>
              </w:rPr>
              <w:t>Date</w:t>
            </w:r>
          </w:p>
        </w:tc>
        <w:tc>
          <w:tcPr>
            <w:tcW w:type="dxa" w:w="2520"/>
            <w:shd w:val="clear" w:color="auto" w:fill="1B3A6B"/>
          </w:tcPr>
          <w:p>
            <w:r/>
            <w:r>
              <w:rPr>
                <w:rFonts w:ascii="Arial" w:hAnsi="Arial"/>
                <w:b/>
                <w:color w:val="FFFFFF"/>
                <w:sz w:val="20"/>
              </w:rPr>
              <w:t>Auteur / Rôle</w:t>
            </w:r>
          </w:p>
        </w:tc>
        <w:tc>
          <w:tcPr>
            <w:tcW w:type="dxa" w:w="2520"/>
            <w:shd w:val="clear" w:color="auto" w:fill="1B3A6B"/>
          </w:tcPr>
          <w:p>
            <w:r/>
            <w:r>
              <w:rPr>
                <w:rFonts w:ascii="Arial" w:hAnsi="Arial"/>
                <w:b/>
                <w:color w:val="FFFFFF"/>
                <w:sz w:val="20"/>
              </w:rPr>
              <w:t>Résumé des modifications</w:t>
            </w:r>
          </w:p>
        </w:tc>
      </w:tr>
      <w:tr>
        <w:tc>
          <w:tcPr>
            <w:tcW w:type="dxa" w:w="2520"/>
          </w:tcPr>
          <w:p>
            <w:r/>
            <w:r>
              <w:rPr>
                <w:rFonts w:ascii="Arial" w:hAnsi="Arial"/>
                <w:b w:val="0"/>
                <w:sz w:val="20"/>
              </w:rPr>
              <w:t>1.0</w:t>
            </w:r>
          </w:p>
        </w:tc>
        <w:tc>
          <w:tcPr>
            <w:tcW w:type="dxa" w:w="2520"/>
          </w:tcPr>
          <w:p>
            <w:r/>
            <w:r>
              <w:rPr>
                <w:rFonts w:ascii="Arial" w:hAnsi="Arial"/>
                <w:b w:val="0"/>
                <w:sz w:val="20"/>
              </w:rPr>
              <w:t>[AAAA-MM-JJ]</w:t>
            </w:r>
          </w:p>
        </w:tc>
        <w:tc>
          <w:tcPr>
            <w:tcW w:type="dxa" w:w="2520"/>
          </w:tcPr>
          <w:p>
            <w:r/>
            <w:r>
              <w:rPr>
                <w:rFonts w:ascii="Arial" w:hAnsi="Arial"/>
                <w:b w:val="0"/>
                <w:sz w:val="20"/>
              </w:rPr>
              <w:t>[Gestionnaire TI / ISSO]</w:t>
            </w:r>
          </w:p>
        </w:tc>
        <w:tc>
          <w:tcPr>
            <w:tcW w:type="dxa" w:w="2520"/>
          </w:tcPr>
          <w:p>
            <w:r/>
            <w:r>
              <w:rPr>
                <w:rFonts w:ascii="Arial" w:hAnsi="Arial"/>
                <w:b w:val="0"/>
                <w:sz w:val="20"/>
              </w:rPr>
              <w:t>Publication initiale de la politique.</w:t>
            </w:r>
          </w:p>
        </w:tc>
      </w:tr>
    </w:tbl>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i/>
        <w:iCs/>
        <w:color w:val="8096B0"/>
        <w:sz w:val="15"/>
        <w:szCs w:val="15"/>
      </w:rPr>
      <w:t xml:space="preserve">CONFIDENTIAL — For internal use only. Review annually or upon significant change.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jc w:val="right"/>
    </w:pPr>
    <w:r>
      <w:rPr>
        <w:rFonts w:ascii="Arial" w:cs="Arial" w:eastAsia="Arial" w:hAnsi="Arial"/>
        <w:color w:val="8096B0"/>
        <w:sz w:val="16"/>
        <w:szCs w:val="16"/>
      </w:rPr>
      <w:t xml:space="preserve">[Organization Name]  |  Access Control Policy  |  v[1.0]  |  </w:t>
    </w:r>
    <w:r>
      <w:rPr>
        <w:rFonts w:ascii="Arial" w:cs="Arial" w:eastAsia="Arial" w:hAnsi="Arial"/>
        <w:color w:val="8096B0"/>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PS-%1."/>
      <w:lvlJc w:val="left"/>
      <w:pPr>
        <w:ind w:left="700" w:hanging="40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2026-06-06T13:50:17.851Z</dcterms:created>
  <dcterms:modified xsi:type="dcterms:W3CDTF">2026-06-06T13:50:17.852Z</dcterms:modified>
</cp:coreProperties>
</file>

<file path=docProps/custom.xml><?xml version="1.0" encoding="utf-8"?>
<Properties xmlns="http://schemas.openxmlformats.org/officeDocument/2006/custom-properties" xmlns:vt="http://schemas.openxmlformats.org/officeDocument/2006/docPropsVTypes"/>
</file>