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[Organization Name]</w:t>
            </w:r>
          </w:p>
          <w:p>
            <w:r>
              <w:rPr>
                <w:rFonts w:ascii="Arial" w:hAnsi="Arial"/>
                <w:b/>
                <w:color w:val="2E5FA3"/>
                <w:sz w:val="28"/>
              </w:rPr>
              <w:t>System &amp; Communications Protection Policy</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r>
      <w:tr>
        <w:tc>
          <w:tcPr>
            <w:tcW w:type="dxa" w:w="2520"/>
          </w:tcPr>
          <w:p>
            <w:r/>
            <w:r>
              <w:rPr>
                <w:rFonts w:ascii="Arial" w:hAnsi="Arial"/>
                <w:b w:val="0"/>
                <w:sz w:val="20"/>
              </w:rPr>
              <w:t>Policy Name</w:t>
            </w:r>
          </w:p>
        </w:tc>
        <w:tc>
          <w:tcPr>
            <w:tcW w:type="dxa" w:w="2520"/>
          </w:tcPr>
          <w:p>
            <w:r/>
            <w:r>
              <w:rPr>
                <w:rFonts w:ascii="Arial" w:hAnsi="Arial"/>
                <w:b w:val="0"/>
                <w:sz w:val="20"/>
              </w:rPr>
              <w:t>System &amp; Communications Protection Policy</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Policy Owner</w:t>
            </w:r>
          </w:p>
        </w:tc>
        <w:tc>
          <w:tcPr>
            <w:tcW w:type="dxa" w:w="2520"/>
          </w:tcPr>
          <w:p>
            <w:r/>
            <w:r>
              <w:rPr>
                <w:rFonts w:ascii="Arial" w:hAnsi="Arial"/>
                <w:b w:val="0"/>
                <w:sz w:val="20"/>
              </w:rPr>
              <w:t>[IT Manager / ISSO]</w:t>
            </w:r>
          </w:p>
        </w:tc>
        <w:tc>
          <w:tcPr>
            <w:tcW w:type="dxa" w:w="2520"/>
          </w:tcPr>
          <w:p>
            <w:r/>
            <w:r>
              <w:rPr>
                <w:rFonts w:ascii="Arial" w:hAnsi="Arial"/>
                <w:b w:val="0"/>
                <w:sz w:val="20"/>
              </w:rPr>
              <w:t>Approved By</w:t>
            </w:r>
          </w:p>
        </w:tc>
        <w:tc>
          <w:tcPr>
            <w:tcW w:type="dxa" w:w="2520"/>
          </w:tcPr>
          <w:p>
            <w:r/>
            <w:r>
              <w:rPr>
                <w:rFonts w:ascii="Arial" w:hAnsi="Arial"/>
                <w:b w:val="0"/>
                <w:sz w:val="20"/>
              </w:rPr>
              <w:t>[CEO / CISO]</w:t>
            </w:r>
          </w:p>
        </w:tc>
      </w:tr>
      <w:tr>
        <w:tc>
          <w:tcPr>
            <w:tcW w:type="dxa" w:w="2520"/>
          </w:tcPr>
          <w:p>
            <w:r/>
            <w:r>
              <w:rPr>
                <w:rFonts w:ascii="Arial" w:hAnsi="Arial"/>
                <w:b w:val="0"/>
                <w:sz w:val="20"/>
              </w:rPr>
              <w:t>Effective Date</w:t>
            </w:r>
          </w:p>
        </w:tc>
        <w:tc>
          <w:tcPr>
            <w:tcW w:type="dxa" w:w="2520"/>
          </w:tcPr>
          <w:p>
            <w:r/>
            <w:r>
              <w:rPr>
                <w:rFonts w:ascii="Arial" w:hAnsi="Arial"/>
                <w:b w:val="0"/>
                <w:sz w:val="20"/>
              </w:rPr>
              <w:t>[YYYY-MM-DD]</w:t>
            </w:r>
          </w:p>
        </w:tc>
        <w:tc>
          <w:tcPr>
            <w:tcW w:type="dxa" w:w="2520"/>
          </w:tcPr>
          <w:p>
            <w:r/>
            <w:r>
              <w:rPr>
                <w:rFonts w:ascii="Arial" w:hAnsi="Arial"/>
                <w:b w:val="0"/>
                <w:sz w:val="20"/>
              </w:rPr>
              <w:t>Last Reviewed</w:t>
            </w:r>
          </w:p>
        </w:tc>
        <w:tc>
          <w:tcPr>
            <w:tcW w:type="dxa" w:w="2520"/>
          </w:tcPr>
          <w:p>
            <w:r/>
            <w:r>
              <w:rPr>
                <w:rFonts w:ascii="Arial" w:hAnsi="Arial"/>
                <w:b w:val="0"/>
                <w:sz w:val="20"/>
              </w:rPr>
              <w:t>[YYYY-MM-DD]</w:t>
            </w:r>
          </w:p>
        </w:tc>
      </w:tr>
      <w:tr>
        <w:tc>
          <w:tcPr>
            <w:tcW w:type="dxa" w:w="2520"/>
          </w:tcPr>
          <w:p>
            <w:r/>
            <w:r>
              <w:rPr>
                <w:rFonts w:ascii="Arial" w:hAnsi="Arial"/>
                <w:b w:val="0"/>
                <w:sz w:val="20"/>
              </w:rPr>
              <w:t>Review Cadence</w:t>
            </w:r>
          </w:p>
        </w:tc>
        <w:tc>
          <w:tcPr>
            <w:tcW w:type="dxa" w:w="2520"/>
          </w:tcPr>
          <w:p>
            <w:r/>
            <w:r>
              <w:rPr>
                <w:rFonts w:ascii="Arial" w:hAnsi="Arial"/>
                <w:b w:val="0"/>
                <w:sz w:val="20"/>
              </w:rPr>
              <w:t>Annual (or upon major change)</w:t>
            </w:r>
          </w:p>
        </w:tc>
        <w:tc>
          <w:tcPr>
            <w:tcW w:type="dxa" w:w="2520"/>
          </w:tcPr>
          <w:p>
            <w:r/>
            <w:r>
              <w:rPr>
                <w:rFonts w:ascii="Arial" w:hAnsi="Arial"/>
                <w:b w:val="0"/>
                <w:sz w:val="20"/>
              </w:rPr>
              <w:t>Classification</w:t>
            </w:r>
          </w:p>
        </w:tc>
        <w:tc>
          <w:tcPr>
            <w:tcW w:type="dxa" w:w="2520"/>
          </w:tcPr>
          <w:p>
            <w:r/>
            <w:r>
              <w:rPr>
                <w:rFonts w:ascii="Arial" w:hAnsi="Arial"/>
                <w:b w:val="0"/>
                <w:sz w:val="20"/>
              </w:rPr>
              <w:t>[CUI / Internal]</w:t>
            </w:r>
          </w:p>
        </w:tc>
      </w:tr>
    </w:tbl>
    <w:p/>
    <w:p>
      <w:pPr>
        <w:spacing w:before="200" w:after="80"/>
      </w:pPr>
      <w:r>
        <w:rPr>
          <w:rFonts w:ascii="Arial" w:hAnsi="Arial"/>
          <w:b/>
          <w:color w:val="2E5FA3"/>
          <w:sz w:val="26"/>
        </w:rPr>
        <w:t>1.  Purpose</w:t>
      </w:r>
    </w:p>
    <w:p>
      <w:r>
        <w:rPr>
          <w:rFonts w:ascii="Arial" w:hAnsi="Arial"/>
          <w:sz w:val="21"/>
        </w:rPr>
        <w:t>This policy establishes how [Organization Name] protects information in transit and at rest and how it segments and defends its networks for systems that process, store, or transmit Controlled Unclassified Information (CUI). Network and cryptographic protections prevent interception, tampering, and lateral movement. This policy defines boundary defense, encryption, key management, and related communications safeguards.</w:t>
      </w:r>
    </w:p>
    <w:p>
      <w:pPr>
        <w:spacing w:before="200" w:after="80"/>
      </w:pPr>
      <w:r>
        <w:rPr>
          <w:rFonts w:ascii="Arial" w:hAnsi="Arial"/>
          <w:b/>
          <w:color w:val="2E5FA3"/>
          <w:sz w:val="26"/>
        </w:rPr>
        <w:t>2.  Scope</w:t>
      </w:r>
    </w:p>
    <w:p>
      <w:r>
        <w:rPr>
          <w:rFonts w:ascii="Arial" w:hAnsi="Arial"/>
          <w:sz w:val="21"/>
        </w:rPr>
        <w:t>This policy applies to:</w:t>
      </w:r>
    </w:p>
    <w:p>
      <w:pPr>
        <w:ind w:left="360"/>
      </w:pPr>
      <w:r>
        <w:rPr>
          <w:rFonts w:ascii="Arial" w:hAnsi="Arial"/>
          <w:sz w:val="21"/>
        </w:rPr>
        <w:t>•  All networks, boundaries, and communications carrying CUI.</w:t>
      </w:r>
    </w:p>
    <w:p>
      <w:pPr>
        <w:ind w:left="360"/>
      </w:pPr>
      <w:r>
        <w:rPr>
          <w:rFonts w:ascii="Arial" w:hAnsi="Arial"/>
          <w:sz w:val="21"/>
        </w:rPr>
        <w:t>•  All cryptographic mechanisms protecting CUI in transit and at rest.</w:t>
      </w:r>
    </w:p>
    <w:p>
      <w:pPr>
        <w:ind w:left="360"/>
      </w:pPr>
      <w:r>
        <w:rPr>
          <w:rFonts w:ascii="Arial" w:hAnsi="Arial"/>
          <w:sz w:val="21"/>
        </w:rPr>
        <w:t>•  All systems and services that transmit, process, or store CUI.</w:t>
      </w:r>
    </w:p>
    <w:p>
      <w:r>
        <w:rPr>
          <w:rFonts w:ascii="Arial" w:hAnsi="Arial"/>
          <w:sz w:val="21"/>
        </w:rPr>
        <w:t>Where CUI is involved, the requirements in this policy are mandatory and supersede convenience or operational preferences.</w:t>
      </w:r>
    </w:p>
    <w:p>
      <w:pPr>
        <w:spacing w:before="200" w:after="80"/>
      </w:pPr>
      <w:r>
        <w:rPr>
          <w:rFonts w:ascii="Arial" w:hAnsi="Arial"/>
          <w:b/>
          <w:color w:val="2E5FA3"/>
          <w:sz w:val="26"/>
        </w:rPr>
        <w:t>3.  Definitions</w:t>
      </w:r>
    </w:p>
    <w:p>
      <w:r>
        <w:rPr>
          <w:rFonts w:ascii="Arial" w:hAnsi="Arial"/>
          <w:b/>
          <w:sz w:val="21"/>
        </w:rPr>
        <w:t xml:space="preserve">Boundary Protection: </w:t>
      </w:r>
      <w:r>
        <w:rPr>
          <w:rFonts w:ascii="Arial" w:hAnsi="Arial"/>
          <w:sz w:val="21"/>
        </w:rPr>
        <w:t>Controls (e.g., firewalls) that monitor and control communications at external and key internal boundaries.</w:t>
      </w:r>
    </w:p>
    <w:p>
      <w:r>
        <w:rPr>
          <w:rFonts w:ascii="Arial" w:hAnsi="Arial"/>
          <w:b/>
          <w:sz w:val="21"/>
        </w:rPr>
        <w:t xml:space="preserve">Encryption in Transit: </w:t>
      </w:r>
      <w:r>
        <w:rPr>
          <w:rFonts w:ascii="Arial" w:hAnsi="Arial"/>
          <w:sz w:val="21"/>
        </w:rPr>
        <w:t>Protecting data as it moves across networks (e.g., TLS, VPN).</w:t>
      </w:r>
    </w:p>
    <w:p>
      <w:r>
        <w:rPr>
          <w:rFonts w:ascii="Arial" w:hAnsi="Arial"/>
          <w:b/>
          <w:sz w:val="21"/>
        </w:rPr>
        <w:t xml:space="preserve">Encryption at Rest: </w:t>
      </w:r>
      <w:r>
        <w:rPr>
          <w:rFonts w:ascii="Arial" w:hAnsi="Arial"/>
          <w:sz w:val="21"/>
        </w:rPr>
        <w:t>Protecting stored data (e.g., full-disk, database, file-level encryption).</w:t>
      </w:r>
    </w:p>
    <w:p>
      <w:r>
        <w:rPr>
          <w:rFonts w:ascii="Arial" w:hAnsi="Arial"/>
          <w:b/>
          <w:sz w:val="21"/>
        </w:rPr>
        <w:t xml:space="preserve">Cryptographic Key Management: </w:t>
      </w:r>
      <w:r>
        <w:rPr>
          <w:rFonts w:ascii="Arial" w:hAnsi="Arial"/>
          <w:sz w:val="21"/>
        </w:rPr>
        <w:t>Generating, distributing, storing, rotating, and destroying keys securely.</w:t>
      </w:r>
    </w:p>
    <w:p>
      <w:r>
        <w:rPr>
          <w:rFonts w:ascii="Arial" w:hAnsi="Arial"/>
          <w:b/>
          <w:sz w:val="21"/>
        </w:rPr>
        <w:t xml:space="preserve">Deny by Default: </w:t>
      </w:r>
      <w:r>
        <w:rPr>
          <w:rFonts w:ascii="Arial" w:hAnsi="Arial"/>
          <w:sz w:val="21"/>
        </w:rPr>
        <w:t>Blocking all communications except those explicitly permitted.</w:t>
      </w:r>
    </w:p>
    <w:p>
      <w:pPr>
        <w:spacing w:before="200" w:after="80"/>
      </w:pPr>
      <w:r>
        <w:rPr>
          <w:rFonts w:ascii="Arial" w:hAnsi="Arial"/>
          <w:b/>
          <w:color w:val="2E5FA3"/>
          <w:sz w:val="26"/>
        </w:rPr>
        <w:t>4.  Roles &amp; Responsibilities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Role</w:t>
            </w:r>
          </w:p>
        </w:tc>
        <w:tc>
          <w:tcPr>
            <w:tcW w:type="dxa" w:w="5040"/>
            <w:shd w:val="clear" w:color="auto" w:fill="1B3A6B"/>
          </w:tcPr>
          <w:p>
            <w:r/>
            <w:r>
              <w:rPr>
                <w:rFonts w:ascii="Arial" w:hAnsi="Arial"/>
                <w:b/>
                <w:color w:val="FFFFFF"/>
                <w:sz w:val="20"/>
              </w:rPr>
              <w:t>Key Responsibilities</w:t>
            </w:r>
          </w:p>
        </w:tc>
      </w:tr>
      <w:tr>
        <w:tc>
          <w:tcPr>
            <w:tcW w:type="dxa" w:w="5040"/>
          </w:tcPr>
          <w:p>
            <w:r/>
            <w:r>
              <w:rPr>
                <w:rFonts w:ascii="Arial" w:hAnsi="Arial"/>
                <w:b w:val="0"/>
                <w:sz w:val="20"/>
              </w:rPr>
              <w:t>[IT Manager / ISSO]</w:t>
            </w:r>
          </w:p>
        </w:tc>
        <w:tc>
          <w:tcPr>
            <w:tcW w:type="dxa" w:w="5040"/>
          </w:tcPr>
          <w:p>
            <w:r/>
            <w:r>
              <w:rPr>
                <w:rFonts w:ascii="Arial" w:hAnsi="Arial"/>
                <w:b w:val="0"/>
                <w:sz w:val="20"/>
              </w:rPr>
              <w:t>Own this policy; approve network architecture and cryptographic standards; oversee boundary defense.</w:t>
            </w:r>
          </w:p>
        </w:tc>
      </w:tr>
      <w:tr>
        <w:tc>
          <w:tcPr>
            <w:tcW w:type="dxa" w:w="5040"/>
          </w:tcPr>
          <w:p>
            <w:r/>
            <w:r>
              <w:rPr>
                <w:rFonts w:ascii="Arial" w:hAnsi="Arial"/>
                <w:b w:val="0"/>
                <w:sz w:val="20"/>
              </w:rPr>
              <w:t>[System Administrator]</w:t>
            </w:r>
          </w:p>
        </w:tc>
        <w:tc>
          <w:tcPr>
            <w:tcW w:type="dxa" w:w="5040"/>
          </w:tcPr>
          <w:p>
            <w:r/>
            <w:r>
              <w:rPr>
                <w:rFonts w:ascii="Arial" w:hAnsi="Arial"/>
                <w:b w:val="0"/>
                <w:sz w:val="20"/>
              </w:rPr>
              <w:t>Implement firewalls, segmentation, encryption, and key management; monitor boundary devices.</w:t>
            </w:r>
          </w:p>
        </w:tc>
      </w:tr>
      <w:tr>
        <w:tc>
          <w:tcPr>
            <w:tcW w:type="dxa" w:w="5040"/>
          </w:tcPr>
          <w:p>
            <w:r/>
            <w:r>
              <w:rPr>
                <w:rFonts w:ascii="Arial" w:hAnsi="Arial"/>
                <w:b w:val="0"/>
                <w:sz w:val="20"/>
              </w:rPr>
              <w:t>All Users</w:t>
            </w:r>
          </w:p>
        </w:tc>
        <w:tc>
          <w:tcPr>
            <w:tcW w:type="dxa" w:w="5040"/>
          </w:tcPr>
          <w:p>
            <w:r/>
            <w:r>
              <w:rPr>
                <w:rFonts w:ascii="Arial" w:hAnsi="Arial"/>
                <w:b w:val="0"/>
                <w:sz w:val="20"/>
              </w:rPr>
              <w:t>Use approved, encrypted channels; do not bypass network controls; report anomalies.</w:t>
            </w:r>
          </w:p>
        </w:tc>
      </w:tr>
      <w:tr>
        <w:tc>
          <w:tcPr>
            <w:tcW w:type="dxa" w:w="5040"/>
          </w:tcPr>
          <w:p>
            <w:r/>
            <w:r>
              <w:rPr>
                <w:rFonts w:ascii="Arial" w:hAnsi="Arial"/>
                <w:b w:val="0"/>
                <w:sz w:val="20"/>
              </w:rPr>
              <w:t>[Senior Leadership / CISO]</w:t>
            </w:r>
          </w:p>
        </w:tc>
        <w:tc>
          <w:tcPr>
            <w:tcW w:type="dxa" w:w="5040"/>
          </w:tcPr>
          <w:p>
            <w:r/>
            <w:r>
              <w:rPr>
                <w:rFonts w:ascii="Arial" w:hAnsi="Arial"/>
                <w:b w:val="0"/>
                <w:sz w:val="20"/>
              </w:rPr>
              <w:t>Approve this policy; accept residual risk for documented exceptions.</w:t>
            </w:r>
          </w:p>
        </w:tc>
      </w:tr>
    </w:tbl>
    <w:p/>
    <w:p>
      <w:pPr>
        <w:spacing w:before="200" w:after="80"/>
      </w:pPr>
      <w:r>
        <w:rPr>
          <w:rFonts w:ascii="Arial" w:hAnsi="Arial"/>
          <w:b/>
          <w:color w:val="2E5FA3"/>
          <w:sz w:val="26"/>
        </w:rPr>
        <w:t>5.  Policy Statements</w:t>
      </w:r>
    </w:p>
    <w:p>
      <w:r>
        <w:rPr>
          <w:rFonts w:ascii="Arial" w:hAnsi="Arial"/>
          <w:b/>
          <w:color w:val="2E5FA3"/>
          <w:sz w:val="21"/>
        </w:rPr>
        <w:t>PS-1  Boundary Protection</w:t>
      </w:r>
    </w:p>
    <w:p>
      <w:r>
        <w:rPr>
          <w:rFonts w:ascii="Arial" w:hAnsi="Arial"/>
          <w:sz w:val="21"/>
        </w:rPr>
        <w:t>Communications at external boundaries and key internal boundaries must be monitored and controlled using managed interfaces (e.g., firewalls), with deny-by-default rules and centralized monitoring.</w:t>
      </w:r>
    </w:p>
    <w:p>
      <w:r>
        <w:rPr>
          <w:rFonts w:ascii="Arial" w:hAnsi="Arial"/>
          <w:b/>
          <w:color w:val="2E5FA3"/>
          <w:sz w:val="21"/>
        </w:rPr>
        <w:t>PS-2  Network Segmentation &amp; Deny-by-Default</w:t>
      </w:r>
    </w:p>
    <w:p>
      <w:r>
        <w:rPr>
          <w:rFonts w:ascii="Arial" w:hAnsi="Arial"/>
          <w:sz w:val="21"/>
        </w:rPr>
        <w:t>CUI systems must be placed in protected segments; network communications must be deny-by-default and allow only explicitly approved flows.</w:t>
      </w:r>
    </w:p>
    <w:p>
      <w:r>
        <w:rPr>
          <w:rFonts w:ascii="Arial" w:hAnsi="Arial"/>
          <w:b/>
          <w:color w:val="2E5FA3"/>
          <w:sz w:val="21"/>
        </w:rPr>
        <w:t>PS-3  Encryption in Transit</w:t>
      </w:r>
    </w:p>
    <w:p>
      <w:r>
        <w:rPr>
          <w:rFonts w:ascii="Arial" w:hAnsi="Arial"/>
          <w:sz w:val="21"/>
        </w:rPr>
        <w:t>All transmission of CUI must use validated encryption (TLS 1.2+ or equivalent / approved VPN). Legacy protocols and weak ciphers must be disabled.</w:t>
      </w:r>
    </w:p>
    <w:p>
      <w:r>
        <w:rPr>
          <w:rFonts w:ascii="Arial" w:hAnsi="Arial"/>
          <w:b/>
          <w:color w:val="2E5FA3"/>
          <w:sz w:val="21"/>
        </w:rPr>
        <w:t>PS-4  Encryption at Rest</w:t>
      </w:r>
    </w:p>
    <w:p>
      <w:r>
        <w:rPr>
          <w:rFonts w:ascii="Arial" w:hAnsi="Arial"/>
          <w:sz w:val="21"/>
        </w:rPr>
        <w:t>CUI at rest must be protected with validated encryption on servers, endpoints, databases, and portable devices.</w:t>
      </w:r>
    </w:p>
    <w:p>
      <w:r>
        <w:rPr>
          <w:rFonts w:ascii="Arial" w:hAnsi="Arial"/>
          <w:b/>
          <w:color w:val="2E5FA3"/>
          <w:sz w:val="21"/>
        </w:rPr>
        <w:t>PS-5  Cryptographic Protection (FIPS)</w:t>
      </w:r>
    </w:p>
    <w:p>
      <w:r>
        <w:rPr>
          <w:rFonts w:ascii="Arial" w:hAnsi="Arial"/>
          <w:sz w:val="21"/>
        </w:rPr>
        <w:t>Cryptography used to protect CUI must use validated (e.g., FIPS-validated) cryptographic modules, and where they are applied must be documented.</w:t>
      </w:r>
    </w:p>
    <w:p>
      <w:r>
        <w:rPr>
          <w:rFonts w:ascii="Arial" w:hAnsi="Arial"/>
          <w:b/>
          <w:color w:val="2E5FA3"/>
          <w:sz w:val="21"/>
        </w:rPr>
        <w:t>PS-6  Key Management</w:t>
      </w:r>
    </w:p>
    <w:p>
      <w:r>
        <w:rPr>
          <w:rFonts w:ascii="Arial" w:hAnsi="Arial"/>
          <w:sz w:val="21"/>
        </w:rPr>
        <w:t>Cryptographic keys must be established and managed securely (generation, distribution, storage, rotation, and destruction), with access restricted.</w:t>
      </w:r>
    </w:p>
    <w:p>
      <w:r>
        <w:rPr>
          <w:rFonts w:ascii="Arial" w:hAnsi="Arial"/>
          <w:b/>
          <w:color w:val="2E5FA3"/>
          <w:sz w:val="21"/>
        </w:rPr>
        <w:t>PS-7  Information in Shared Resources</w:t>
      </w:r>
    </w:p>
    <w:p>
      <w:r>
        <w:rPr>
          <w:rFonts w:ascii="Arial" w:hAnsi="Arial"/>
          <w:sz w:val="21"/>
        </w:rPr>
        <w:t>Systems must prevent unauthorized or unintended information transfer via shared system resources (e.g., memory, storage reuse).</w:t>
      </w:r>
    </w:p>
    <w:p>
      <w:r>
        <w:rPr>
          <w:rFonts w:ascii="Arial" w:hAnsi="Arial"/>
          <w:b/>
          <w:color w:val="2E5FA3"/>
          <w:sz w:val="21"/>
        </w:rPr>
        <w:t>PS-8  Network Disconnect &amp; Session Authenticity</w:t>
      </w:r>
    </w:p>
    <w:p>
      <w:r>
        <w:rPr>
          <w:rFonts w:ascii="Arial" w:hAnsi="Arial"/>
          <w:sz w:val="21"/>
        </w:rPr>
        <w:t>Network sessions must be terminated after a defined period of inactivity or at session end, and session authenticity protected (e.g., against hijacking).</w:t>
      </w:r>
    </w:p>
    <w:p>
      <w:r>
        <w:rPr>
          <w:rFonts w:ascii="Arial" w:hAnsi="Arial"/>
          <w:b/>
          <w:color w:val="2E5FA3"/>
          <w:sz w:val="21"/>
        </w:rPr>
        <w:t>PS-9  Collaborative Devices &amp; Mobile Code</w:t>
      </w:r>
    </w:p>
    <w:p>
      <w:r>
        <w:rPr>
          <w:rFonts w:ascii="Arial" w:hAnsi="Arial"/>
          <w:sz w:val="21"/>
        </w:rPr>
        <w:t>Collaborative computing devices (e.g., cameras, microphones) must indicate active use and be controllable; mobile code must be restricted to approved, controlled use.</w:t>
      </w:r>
    </w:p>
    <w:p>
      <w:pPr>
        <w:spacing w:before="200" w:after="80"/>
      </w:pPr>
      <w:r>
        <w:rPr>
          <w:rFonts w:ascii="Arial" w:hAnsi="Arial"/>
          <w:b/>
          <w:color w:val="2E5FA3"/>
          <w:sz w:val="26"/>
        </w:rPr>
        <w:t>6.  Procedures &amp; Audit Evidence</w:t>
      </w:r>
    </w:p>
    <w:p>
      <w:r>
        <w:rPr>
          <w:rFonts w:ascii="Arial" w:hAnsi="Arial"/>
          <w:sz w:val="21"/>
        </w:rPr>
        <w:t>6.1  Network Defense</w:t>
      </w:r>
    </w:p>
    <w:p>
      <w:pPr>
        <w:ind w:left="360"/>
      </w:pPr>
      <w:r>
        <w:rPr>
          <w:rFonts w:ascii="Arial" w:hAnsi="Arial"/>
          <w:sz w:val="21"/>
        </w:rPr>
        <w:t>•  Enforce deny-by-default at boundaries; segment CUI; monitor boundary devices centrally.</w:t>
      </w:r>
    </w:p>
    <w:p>
      <w:pPr>
        <w:ind w:left="360"/>
      </w:pPr>
      <w:r>
        <w:rPr>
          <w:rFonts w:ascii="Arial" w:hAnsi="Arial"/>
          <w:sz w:val="21"/>
        </w:rPr>
        <w:t>•  Terminate idle sessions; protect session authenticity.</w:t>
      </w:r>
    </w:p>
    <w:p>
      <w:r>
        <w:rPr>
          <w:rFonts w:ascii="Arial" w:hAnsi="Arial"/>
          <w:b/>
          <w:sz w:val="21"/>
        </w:rPr>
        <w:t xml:space="preserve">Audit evidence: </w:t>
      </w:r>
      <w:r>
        <w:rPr>
          <w:rFonts w:ascii="Arial" w:hAnsi="Arial"/>
          <w:sz w:val="21"/>
        </w:rPr>
        <w:t>Firewall rules; segmentation diagrams; boundary-device logs; session-timeout configuration.</w:t>
      </w:r>
    </w:p>
    <w:p>
      <w:r>
        <w:rPr>
          <w:rFonts w:ascii="Arial" w:hAnsi="Arial"/>
          <w:sz w:val="21"/>
        </w:rPr>
        <w:t>6.2  Cryptography</w:t>
      </w:r>
    </w:p>
    <w:p>
      <w:pPr>
        <w:ind w:left="360"/>
      </w:pPr>
      <w:r>
        <w:rPr>
          <w:rFonts w:ascii="Arial" w:hAnsi="Arial"/>
          <w:sz w:val="21"/>
        </w:rPr>
        <w:t>•  Enforce TLS 1.2+/approved VPN; encrypt CUI at rest with validated modules.</w:t>
      </w:r>
    </w:p>
    <w:p>
      <w:pPr>
        <w:ind w:left="360"/>
      </w:pPr>
      <w:r>
        <w:rPr>
          <w:rFonts w:ascii="Arial" w:hAnsi="Arial"/>
          <w:sz w:val="21"/>
        </w:rPr>
        <w:t>•  Manage keys through their lifecycle with restricted access.</w:t>
      </w:r>
    </w:p>
    <w:p>
      <w:r>
        <w:rPr>
          <w:rFonts w:ascii="Arial" w:hAnsi="Arial"/>
          <w:b/>
          <w:sz w:val="21"/>
        </w:rPr>
        <w:t xml:space="preserve">Audit evidence: </w:t>
      </w:r>
      <w:r>
        <w:rPr>
          <w:rFonts w:ascii="Arial" w:hAnsi="Arial"/>
          <w:sz w:val="21"/>
        </w:rPr>
        <w:t>TLS/VPN configuration; encryption-at-rest evidence; FIPS module list; key-management procedures.</w:t>
      </w:r>
    </w:p>
    <w:p>
      <w:pPr>
        <w:spacing w:before="200" w:after="80"/>
      </w:pPr>
      <w:r>
        <w:rPr>
          <w:rFonts w:ascii="Arial" w:hAnsi="Arial"/>
          <w:b/>
          <w:color w:val="2E5FA3"/>
          <w:sz w:val="26"/>
        </w:rPr>
        <w:t>7.  Compliance, Monitoring &amp; Enforcement</w:t>
      </w:r>
    </w:p>
    <w:p>
      <w:r>
        <w:rPr>
          <w:rFonts w:ascii="Arial" w:hAnsi="Arial"/>
          <w:sz w:val="21"/>
        </w:rPr>
        <w:t>The [IT Manager / ISSO] shall review compliance with this policy at least [quarterly] by verifying boundary defense and segmentation are enforced, CUI is encrypted in transit and at rest with validated cryptography, and keys are managed securely. Results shall be reported to [Senior Leadership / CISO].</w:t>
      </w:r>
    </w:p>
    <w:p>
      <w:r>
        <w:rPr>
          <w:rFonts w:ascii="Arial" w:hAnsi="Arial"/>
          <w:sz w:val="21"/>
        </w:rPr>
        <w:t>Violations may result in:</w:t>
      </w:r>
    </w:p>
    <w:p>
      <w:pPr>
        <w:ind w:left="360"/>
      </w:pPr>
      <w:r>
        <w:rPr>
          <w:rFonts w:ascii="Arial" w:hAnsi="Arial"/>
          <w:sz w:val="21"/>
        </w:rPr>
        <w:t>•  Remediation of the deficiency within a timeframe set by the policy owner based on risk.</w:t>
      </w:r>
    </w:p>
    <w:p>
      <w:pPr>
        <w:ind w:left="360"/>
      </w:pPr>
      <w:r>
        <w:rPr>
          <w:rFonts w:ascii="Arial" w:hAnsi="Arial"/>
          <w:sz w:val="21"/>
        </w:rPr>
        <w:t>•  Disciplinary action up to and including termination of employment or contract, consistent with [Organization Name]'s disciplinary procedures.</w:t>
      </w:r>
    </w:p>
    <w:p>
      <w:pPr>
        <w:ind w:left="360"/>
      </w:pPr>
      <w:r>
        <w:rPr>
          <w:rFonts w:ascii="Arial" w:hAnsi="Arial"/>
          <w:sz w:val="21"/>
        </w:rPr>
        <w:t>•  Referral to law enforcement and notification to government contracting officers where CUI or criminal activity is involved, as required by the applicable contract or regulation.</w:t>
      </w:r>
    </w:p>
    <w:p>
      <w:pPr>
        <w:spacing w:before="200" w:after="80"/>
      </w:pPr>
      <w:r>
        <w:rPr>
          <w:rFonts w:ascii="Arial" w:hAnsi="Arial"/>
          <w:b/>
          <w:color w:val="2E5FA3"/>
          <w:sz w:val="26"/>
        </w:rPr>
        <w:t>8.  Exceptions</w:t>
      </w:r>
    </w:p>
    <w:p>
      <w:r>
        <w:rPr>
          <w:rFonts w:ascii="Arial" w:hAnsi="Arial"/>
          <w:sz w:val="21"/>
        </w:rPr>
        <w:t>Exceptions to this policy must be rare. To request one:</w:t>
      </w:r>
    </w:p>
    <w:p>
      <w:pPr>
        <w:ind w:left="360"/>
      </w:pPr>
      <w:r>
        <w:rPr>
          <w:rFonts w:ascii="Arial" w:hAnsi="Arial"/>
          <w:sz w:val="21"/>
        </w:rPr>
        <w:t>•  The requester submits a written exception to the policy owner describing the requirement that cannot be met, the business justification, the risk introduced, and proposed compensating controls.</w:t>
      </w:r>
    </w:p>
    <w:p>
      <w:pPr>
        <w:ind w:left="360"/>
      </w:pPr>
      <w:r>
        <w:rPr>
          <w:rFonts w:ascii="Arial" w:hAnsi="Arial"/>
          <w:sz w:val="21"/>
        </w:rPr>
        <w:t>•  The policy owner assesses the risk and prepares a recommendation; [Senior Leadership / CISO] approves or denies the exception in writing.</w:t>
      </w:r>
    </w:p>
    <w:p>
      <w:pPr>
        <w:ind w:left="360"/>
      </w:pPr>
      <w:r>
        <w:rPr>
          <w:rFonts w:ascii="Arial" w:hAnsi="Arial"/>
          <w:sz w:val="21"/>
        </w:rPr>
        <w:t>•  Approved exceptions are logged in the Exception Register with an expiry of no more than [organization-defined: 12 months; recommended: 12 months], reviewed upon expiry, and reflected as a plan of action and milestones (POA&amp;M) item in the SSP where CUI systems are affected.</w:t>
      </w:r>
    </w:p>
    <w:p>
      <w:pPr>
        <w:spacing w:before="200" w:after="80"/>
      </w:pPr>
      <w:r>
        <w:rPr>
          <w:rFonts w:ascii="Arial" w:hAnsi="Arial"/>
          <w:b/>
          <w:color w:val="2E5FA3"/>
          <w:sz w:val="26"/>
        </w:rPr>
        <w:t>9.  Related Documents</w:t>
      </w:r>
    </w:p>
    <w:p>
      <w:pPr>
        <w:ind w:left="360"/>
      </w:pPr>
      <w:r>
        <w:rPr>
          <w:rFonts w:ascii="Arial" w:hAnsi="Arial"/>
          <w:sz w:val="21"/>
        </w:rPr>
        <w:t>•  Access Control Policy — remote access and wireless controls.</w:t>
      </w:r>
    </w:p>
    <w:p>
      <w:pPr>
        <w:ind w:left="360"/>
      </w:pPr>
      <w:r>
        <w:rPr>
          <w:rFonts w:ascii="Arial" w:hAnsi="Arial"/>
          <w:sz w:val="21"/>
        </w:rPr>
        <w:t>•  Media Protection Policy — encryption of CUI on media.</w:t>
      </w:r>
    </w:p>
    <w:p>
      <w:pPr>
        <w:ind w:left="360"/>
      </w:pPr>
      <w:r>
        <w:rPr>
          <w:rFonts w:ascii="Arial" w:hAnsi="Arial"/>
          <w:sz w:val="21"/>
        </w:rPr>
        <w:t>•  Configuration Management Policy — hardened network device baselines.</w:t>
      </w:r>
    </w:p>
    <w:p>
      <w:pPr>
        <w:ind w:left="360"/>
      </w:pPr>
      <w:r>
        <w:rPr>
          <w:rFonts w:ascii="Arial" w:hAnsi="Arial"/>
          <w:sz w:val="21"/>
        </w:rPr>
        <w:t>•  System Security Plan (SSP) — network architecture and CUI flows.</w:t>
      </w:r>
    </w:p>
    <w:p>
      <w:pPr>
        <w:spacing w:before="200" w:after="80"/>
      </w:pPr>
      <w:r>
        <w:rPr>
          <w:rFonts w:ascii="Arial" w:hAnsi="Arial"/>
          <w:b/>
          <w:color w:val="2E5FA3"/>
          <w:sz w:val="26"/>
        </w:rPr>
        <w:t>10.  Control Mapping</w:t>
      </w:r>
    </w:p>
    <w:p>
      <w:r>
        <w:rPr>
          <w:rFonts w:ascii="Arial" w:hAnsi="Arial"/>
          <w:sz w:val="21"/>
        </w:rPr>
        <w:t>The table below maps each required control to the policy statement(s) that satisfy it and the evidence an auditor will seek. Control IDs are from NIST SP 800-171 Rev 3 (family 03.13); they are equally applicable to CMMC 2.0 Level 2 and 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Control ID</w:t>
            </w:r>
          </w:p>
        </w:tc>
        <w:tc>
          <w:tcPr>
            <w:tcW w:type="dxa" w:w="3360"/>
            <w:shd w:val="clear" w:color="auto" w:fill="1B3A6B"/>
          </w:tcPr>
          <w:p>
            <w:r/>
            <w:r>
              <w:rPr>
                <w:rFonts w:ascii="Arial" w:hAnsi="Arial"/>
                <w:b/>
                <w:color w:val="FFFFFF"/>
                <w:sz w:val="20"/>
              </w:rPr>
              <w:t>Policy Statement(s)</w:t>
            </w:r>
          </w:p>
        </w:tc>
        <w:tc>
          <w:tcPr>
            <w:tcW w:type="dxa" w:w="3360"/>
            <w:shd w:val="clear" w:color="auto" w:fill="1B3A6B"/>
          </w:tcPr>
          <w:p>
            <w:r/>
            <w:r>
              <w:rPr>
                <w:rFonts w:ascii="Arial" w:hAnsi="Arial"/>
                <w:b/>
                <w:color w:val="FFFFFF"/>
                <w:sz w:val="20"/>
              </w:rPr>
              <w:t>Expected Audit Evidence</w:t>
            </w:r>
          </w:p>
        </w:tc>
      </w:tr>
      <w:tr>
        <w:tc>
          <w:tcPr>
            <w:tcW w:type="dxa" w:w="3360"/>
          </w:tcPr>
          <w:p>
            <w:r/>
            <w:r>
              <w:rPr>
                <w:rFonts w:ascii="Arial" w:hAnsi="Arial"/>
                <w:b w:val="0"/>
                <w:sz w:val="20"/>
              </w:rPr>
              <w:t>03.13.01  Boundary Protection</w:t>
            </w:r>
          </w:p>
        </w:tc>
        <w:tc>
          <w:tcPr>
            <w:tcW w:type="dxa" w:w="3360"/>
          </w:tcPr>
          <w:p>
            <w:r/>
            <w:r>
              <w:rPr>
                <w:rFonts w:ascii="Arial" w:hAnsi="Arial"/>
                <w:b w:val="0"/>
                <w:sz w:val="20"/>
              </w:rPr>
              <w:t>PS-1 — managed boundaries</w:t>
            </w:r>
          </w:p>
        </w:tc>
        <w:tc>
          <w:tcPr>
            <w:tcW w:type="dxa" w:w="3360"/>
          </w:tcPr>
          <w:p>
            <w:r/>
            <w:r>
              <w:rPr>
                <w:rFonts w:ascii="Arial" w:hAnsi="Arial"/>
                <w:b w:val="0"/>
                <w:sz w:val="20"/>
              </w:rPr>
              <w:t>Firewall rules; boundary monitoring</w:t>
            </w:r>
          </w:p>
        </w:tc>
      </w:tr>
      <w:tr>
        <w:tc>
          <w:tcPr>
            <w:tcW w:type="dxa" w:w="3360"/>
          </w:tcPr>
          <w:p>
            <w:r/>
            <w:r>
              <w:rPr>
                <w:rFonts w:ascii="Arial" w:hAnsi="Arial"/>
                <w:b w:val="0"/>
                <w:sz w:val="20"/>
              </w:rPr>
              <w:t>03.13.04  Information in Shared System Resources</w:t>
            </w:r>
          </w:p>
        </w:tc>
        <w:tc>
          <w:tcPr>
            <w:tcW w:type="dxa" w:w="3360"/>
          </w:tcPr>
          <w:p>
            <w:r/>
            <w:r>
              <w:rPr>
                <w:rFonts w:ascii="Arial" w:hAnsi="Arial"/>
                <w:b w:val="0"/>
                <w:sz w:val="20"/>
              </w:rPr>
              <w:t>PS-7 — prevent shared-resource leakage</w:t>
            </w:r>
          </w:p>
        </w:tc>
        <w:tc>
          <w:tcPr>
            <w:tcW w:type="dxa" w:w="3360"/>
          </w:tcPr>
          <w:p>
            <w:r/>
            <w:r>
              <w:rPr>
                <w:rFonts w:ascii="Arial" w:hAnsi="Arial"/>
                <w:b w:val="0"/>
                <w:sz w:val="20"/>
              </w:rPr>
              <w:t>Configuration preventing resource reuse leakage</w:t>
            </w:r>
          </w:p>
        </w:tc>
      </w:tr>
      <w:tr>
        <w:tc>
          <w:tcPr>
            <w:tcW w:type="dxa" w:w="3360"/>
          </w:tcPr>
          <w:p>
            <w:r/>
            <w:r>
              <w:rPr>
                <w:rFonts w:ascii="Arial" w:hAnsi="Arial"/>
                <w:b w:val="0"/>
                <w:sz w:val="20"/>
              </w:rPr>
              <w:t>03.13.06  Network Communications – Deny by Default</w:t>
            </w:r>
          </w:p>
        </w:tc>
        <w:tc>
          <w:tcPr>
            <w:tcW w:type="dxa" w:w="3360"/>
          </w:tcPr>
          <w:p>
            <w:r/>
            <w:r>
              <w:rPr>
                <w:rFonts w:ascii="Arial" w:hAnsi="Arial"/>
                <w:b w:val="0"/>
                <w:sz w:val="20"/>
              </w:rPr>
              <w:t>PS-2 — deny-by-default flows</w:t>
            </w:r>
          </w:p>
        </w:tc>
        <w:tc>
          <w:tcPr>
            <w:tcW w:type="dxa" w:w="3360"/>
          </w:tcPr>
          <w:p>
            <w:r/>
            <w:r>
              <w:rPr>
                <w:rFonts w:ascii="Arial" w:hAnsi="Arial"/>
                <w:b w:val="0"/>
                <w:sz w:val="20"/>
              </w:rPr>
              <w:t>Firewall deny-by-default rule sets</w:t>
            </w:r>
          </w:p>
        </w:tc>
      </w:tr>
      <w:tr>
        <w:tc>
          <w:tcPr>
            <w:tcW w:type="dxa" w:w="3360"/>
          </w:tcPr>
          <w:p>
            <w:r/>
            <w:r>
              <w:rPr>
                <w:rFonts w:ascii="Arial" w:hAnsi="Arial"/>
                <w:b w:val="0"/>
                <w:sz w:val="20"/>
              </w:rPr>
              <w:t>03.13.08  Transmission and Storage Confidentiality</w:t>
            </w:r>
          </w:p>
        </w:tc>
        <w:tc>
          <w:tcPr>
            <w:tcW w:type="dxa" w:w="3360"/>
          </w:tcPr>
          <w:p>
            <w:r/>
            <w:r>
              <w:rPr>
                <w:rFonts w:ascii="Arial" w:hAnsi="Arial"/>
                <w:b w:val="0"/>
                <w:sz w:val="20"/>
              </w:rPr>
              <w:t>PS-3, PS-4 — encryption in transit and at rest</w:t>
            </w:r>
          </w:p>
        </w:tc>
        <w:tc>
          <w:tcPr>
            <w:tcW w:type="dxa" w:w="3360"/>
          </w:tcPr>
          <w:p>
            <w:r/>
            <w:r>
              <w:rPr>
                <w:rFonts w:ascii="Arial" w:hAnsi="Arial"/>
                <w:b w:val="0"/>
                <w:sz w:val="20"/>
              </w:rPr>
              <w:t>TLS/VPN and at-rest encryption evidence</w:t>
            </w:r>
          </w:p>
        </w:tc>
      </w:tr>
      <w:tr>
        <w:tc>
          <w:tcPr>
            <w:tcW w:type="dxa" w:w="3360"/>
          </w:tcPr>
          <w:p>
            <w:r/>
            <w:r>
              <w:rPr>
                <w:rFonts w:ascii="Arial" w:hAnsi="Arial"/>
                <w:b w:val="0"/>
                <w:sz w:val="20"/>
              </w:rPr>
              <w:t>03.13.09  Network Disconnect</w:t>
            </w:r>
          </w:p>
        </w:tc>
        <w:tc>
          <w:tcPr>
            <w:tcW w:type="dxa" w:w="3360"/>
          </w:tcPr>
          <w:p>
            <w:r/>
            <w:r>
              <w:rPr>
                <w:rFonts w:ascii="Arial" w:hAnsi="Arial"/>
                <w:b w:val="0"/>
                <w:sz w:val="20"/>
              </w:rPr>
              <w:t>PS-8 — session termination</w:t>
            </w:r>
          </w:p>
        </w:tc>
        <w:tc>
          <w:tcPr>
            <w:tcW w:type="dxa" w:w="3360"/>
          </w:tcPr>
          <w:p>
            <w:r/>
            <w:r>
              <w:rPr>
                <w:rFonts w:ascii="Arial" w:hAnsi="Arial"/>
                <w:b w:val="0"/>
                <w:sz w:val="20"/>
              </w:rPr>
              <w:t>Idle-session disconnect configuration</w:t>
            </w:r>
          </w:p>
        </w:tc>
      </w:tr>
      <w:tr>
        <w:tc>
          <w:tcPr>
            <w:tcW w:type="dxa" w:w="3360"/>
          </w:tcPr>
          <w:p>
            <w:r/>
            <w:r>
              <w:rPr>
                <w:rFonts w:ascii="Arial" w:hAnsi="Arial"/>
                <w:b w:val="0"/>
                <w:sz w:val="20"/>
              </w:rPr>
              <w:t>03.13.10  Cryptographic Key Establishment and Management</w:t>
            </w:r>
          </w:p>
        </w:tc>
        <w:tc>
          <w:tcPr>
            <w:tcW w:type="dxa" w:w="3360"/>
          </w:tcPr>
          <w:p>
            <w:r/>
            <w:r>
              <w:rPr>
                <w:rFonts w:ascii="Arial" w:hAnsi="Arial"/>
                <w:b w:val="0"/>
                <w:sz w:val="20"/>
              </w:rPr>
              <w:t>PS-6 — key management</w:t>
            </w:r>
          </w:p>
        </w:tc>
        <w:tc>
          <w:tcPr>
            <w:tcW w:type="dxa" w:w="3360"/>
          </w:tcPr>
          <w:p>
            <w:r/>
            <w:r>
              <w:rPr>
                <w:rFonts w:ascii="Arial" w:hAnsi="Arial"/>
                <w:b w:val="0"/>
                <w:sz w:val="20"/>
              </w:rPr>
              <w:t>Key-management procedures and evidence</w:t>
            </w:r>
          </w:p>
        </w:tc>
      </w:tr>
      <w:tr>
        <w:tc>
          <w:tcPr>
            <w:tcW w:type="dxa" w:w="3360"/>
          </w:tcPr>
          <w:p>
            <w:r/>
            <w:r>
              <w:rPr>
                <w:rFonts w:ascii="Arial" w:hAnsi="Arial"/>
                <w:b w:val="0"/>
                <w:sz w:val="20"/>
              </w:rPr>
              <w:t>03.13.11  Cryptographic Protection</w:t>
            </w:r>
          </w:p>
        </w:tc>
        <w:tc>
          <w:tcPr>
            <w:tcW w:type="dxa" w:w="3360"/>
          </w:tcPr>
          <w:p>
            <w:r/>
            <w:r>
              <w:rPr>
                <w:rFonts w:ascii="Arial" w:hAnsi="Arial"/>
                <w:b w:val="0"/>
                <w:sz w:val="20"/>
              </w:rPr>
              <w:t>PS-5 — validated cryptography</w:t>
            </w:r>
          </w:p>
        </w:tc>
        <w:tc>
          <w:tcPr>
            <w:tcW w:type="dxa" w:w="3360"/>
          </w:tcPr>
          <w:p>
            <w:r/>
            <w:r>
              <w:rPr>
                <w:rFonts w:ascii="Arial" w:hAnsi="Arial"/>
                <w:b w:val="0"/>
                <w:sz w:val="20"/>
              </w:rPr>
              <w:t>FIPS-validated module list; usage map</w:t>
            </w:r>
          </w:p>
        </w:tc>
      </w:tr>
      <w:tr>
        <w:tc>
          <w:tcPr>
            <w:tcW w:type="dxa" w:w="3360"/>
          </w:tcPr>
          <w:p>
            <w:r/>
            <w:r>
              <w:rPr>
                <w:rFonts w:ascii="Arial" w:hAnsi="Arial"/>
                <w:b w:val="0"/>
                <w:sz w:val="20"/>
              </w:rPr>
              <w:t>03.13.12  Collaborative Computing Devices and Applications</w:t>
            </w:r>
          </w:p>
        </w:tc>
        <w:tc>
          <w:tcPr>
            <w:tcW w:type="dxa" w:w="3360"/>
          </w:tcPr>
          <w:p>
            <w:r/>
            <w:r>
              <w:rPr>
                <w:rFonts w:ascii="Arial" w:hAnsi="Arial"/>
                <w:b w:val="0"/>
                <w:sz w:val="20"/>
              </w:rPr>
              <w:t>PS-9 — collaborative-device control</w:t>
            </w:r>
          </w:p>
        </w:tc>
        <w:tc>
          <w:tcPr>
            <w:tcW w:type="dxa" w:w="3360"/>
          </w:tcPr>
          <w:p>
            <w:r/>
            <w:r>
              <w:rPr>
                <w:rFonts w:ascii="Arial" w:hAnsi="Arial"/>
                <w:b w:val="0"/>
                <w:sz w:val="20"/>
              </w:rPr>
              <w:t>Camera/mic indicator and control config</w:t>
            </w:r>
          </w:p>
        </w:tc>
      </w:tr>
      <w:tr>
        <w:tc>
          <w:tcPr>
            <w:tcW w:type="dxa" w:w="3360"/>
          </w:tcPr>
          <w:p>
            <w:r/>
            <w:r>
              <w:rPr>
                <w:rFonts w:ascii="Arial" w:hAnsi="Arial"/>
                <w:b w:val="0"/>
                <w:sz w:val="20"/>
              </w:rPr>
              <w:t>03.13.13  Mobile Code</w:t>
            </w:r>
          </w:p>
        </w:tc>
        <w:tc>
          <w:tcPr>
            <w:tcW w:type="dxa" w:w="3360"/>
          </w:tcPr>
          <w:p>
            <w:r/>
            <w:r>
              <w:rPr>
                <w:rFonts w:ascii="Arial" w:hAnsi="Arial"/>
                <w:b w:val="0"/>
                <w:sz w:val="20"/>
              </w:rPr>
              <w:t>PS-9 — mobile-code control</w:t>
            </w:r>
          </w:p>
        </w:tc>
        <w:tc>
          <w:tcPr>
            <w:tcW w:type="dxa" w:w="3360"/>
          </w:tcPr>
          <w:p>
            <w:r/>
            <w:r>
              <w:rPr>
                <w:rFonts w:ascii="Arial" w:hAnsi="Arial"/>
                <w:b w:val="0"/>
                <w:sz w:val="20"/>
              </w:rPr>
              <w:t>Mobile-code restriction configuration</w:t>
            </w:r>
          </w:p>
        </w:tc>
      </w:tr>
      <w:tr>
        <w:tc>
          <w:tcPr>
            <w:tcW w:type="dxa" w:w="3360"/>
          </w:tcPr>
          <w:p>
            <w:r/>
            <w:r>
              <w:rPr>
                <w:rFonts w:ascii="Arial" w:hAnsi="Arial"/>
                <w:b w:val="0"/>
                <w:sz w:val="20"/>
              </w:rPr>
              <w:t>03.13.15  Session Authenticity</w:t>
            </w:r>
          </w:p>
        </w:tc>
        <w:tc>
          <w:tcPr>
            <w:tcW w:type="dxa" w:w="3360"/>
          </w:tcPr>
          <w:p>
            <w:r/>
            <w:r>
              <w:rPr>
                <w:rFonts w:ascii="Arial" w:hAnsi="Arial"/>
                <w:b w:val="0"/>
                <w:sz w:val="20"/>
              </w:rPr>
              <w:t>PS-8 — session authenticity</w:t>
            </w:r>
          </w:p>
        </w:tc>
        <w:tc>
          <w:tcPr>
            <w:tcW w:type="dxa" w:w="3360"/>
          </w:tcPr>
          <w:p>
            <w:r/>
            <w:r>
              <w:rPr>
                <w:rFonts w:ascii="Arial" w:hAnsi="Arial"/>
                <w:b w:val="0"/>
                <w:sz w:val="20"/>
              </w:rPr>
              <w:t>Session-protection configuration</w:t>
            </w:r>
          </w:p>
        </w:tc>
      </w:tr>
    </w:tbl>
    <w:p/>
    <w:p>
      <w:pPr>
        <w:spacing w:before="200" w:after="80"/>
      </w:pPr>
      <w:r>
        <w:rPr>
          <w:rFonts w:ascii="Arial" w:hAnsi="Arial"/>
          <w:b/>
          <w:color w:val="2E5FA3"/>
          <w:sz w:val="26"/>
        </w:rPr>
        <w:t>11.  Revision History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Author / Role</w:t>
            </w:r>
          </w:p>
        </w:tc>
        <w:tc>
          <w:tcPr>
            <w:tcW w:type="dxa" w:w="2520"/>
            <w:shd w:val="clear" w:color="auto" w:fill="1B3A6B"/>
          </w:tcPr>
          <w:p>
            <w:r/>
            <w:r>
              <w:rPr>
                <w:rFonts w:ascii="Arial" w:hAnsi="Arial"/>
                <w:b/>
                <w:color w:val="FFFFFF"/>
                <w:sz w:val="20"/>
              </w:rPr>
              <w:t>Summary of Changes</w:t>
            </w:r>
          </w:p>
        </w:tc>
      </w:tr>
      <w:tr>
        <w:tc>
          <w:tcPr>
            <w:tcW w:type="dxa" w:w="2520"/>
          </w:tcPr>
          <w:p>
            <w:r/>
            <w:r>
              <w:rPr>
                <w:rFonts w:ascii="Arial" w:hAnsi="Arial"/>
                <w:b w:val="0"/>
                <w:sz w:val="20"/>
              </w:rPr>
              <w:t>1.0</w:t>
            </w:r>
          </w:p>
        </w:tc>
        <w:tc>
          <w:tcPr>
            <w:tcW w:type="dxa" w:w="2520"/>
          </w:tcPr>
          <w:p>
            <w:r/>
            <w:r>
              <w:rPr>
                <w:rFonts w:ascii="Arial" w:hAnsi="Arial"/>
                <w:b w:val="0"/>
                <w:sz w:val="20"/>
              </w:rPr>
              <w:t>[YYYY-MM-DD]</w:t>
            </w:r>
          </w:p>
        </w:tc>
        <w:tc>
          <w:tcPr>
            <w:tcW w:type="dxa" w:w="2520"/>
          </w:tcPr>
          <w:p>
            <w:r/>
            <w:r>
              <w:rPr>
                <w:rFonts w:ascii="Arial" w:hAnsi="Arial"/>
                <w:b w:val="0"/>
                <w:sz w:val="20"/>
              </w:rPr>
              <w:t>[IT Manager / ISSO]</w:t>
            </w:r>
          </w:p>
        </w:tc>
        <w:tc>
          <w:tcPr>
            <w:tcW w:type="dxa" w:w="2520"/>
          </w:tcPr>
          <w:p>
            <w:r/>
            <w:r>
              <w:rPr>
                <w:rFonts w:ascii="Arial" w:hAnsi="Arial"/>
                <w:b w:val="0"/>
                <w:sz w:val="20"/>
              </w:rPr>
              <w:t>Initial policy release.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