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protection des systèmes et des communications</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protection des systèmes et des communications</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protège l'information en transit et au repos et comment elle segmente et défend ses réseaux pour les systèmes qui traitent, stockent ou transmettent de l'information contrôlée non classifiée (CUI). Les protections réseau et cryptographiques préviennent l'interception, l'altération et le déplacement latéral. Cette politique définit la défense des frontières, le chiffrement, la gestion des clés et les mesures de protection des communications connexes.</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Tous les réseaux, frontières et communications transportant des CUI.</w:t>
      </w:r>
    </w:p>
    <w:p>
      <w:pPr>
        <w:ind w:left="360"/>
      </w:pPr>
      <w:r>
        <w:rPr>
          <w:rFonts w:ascii="Arial" w:hAnsi="Arial"/>
          <w:sz w:val="21"/>
        </w:rPr>
        <w:t>•  Tous les mécanismes cryptographiques protégeant les CUI en transit et au repos.</w:t>
      </w:r>
    </w:p>
    <w:p>
      <w:pPr>
        <w:ind w:left="360"/>
      </w:pPr>
      <w:r>
        <w:rPr>
          <w:rFonts w:ascii="Arial" w:hAnsi="Arial"/>
          <w:sz w:val="21"/>
        </w:rPr>
        <w:t>•  Tous les systèmes et services qui transmettent, traitent ou stockent des CUI.</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Protection des frontières: </w:t>
      </w:r>
      <w:r>
        <w:rPr>
          <w:rFonts w:ascii="Arial" w:hAnsi="Arial"/>
          <w:sz w:val="21"/>
        </w:rPr>
        <w:t>Contrôles (p. ex. pare-feu) qui surveillent et contrôlent les communications aux frontières externes et internes clés.</w:t>
      </w:r>
    </w:p>
    <w:p>
      <w:r>
        <w:rPr>
          <w:rFonts w:ascii="Arial" w:hAnsi="Arial"/>
          <w:b/>
          <w:sz w:val="21"/>
        </w:rPr>
        <w:t xml:space="preserve">Chiffrement en transit: </w:t>
      </w:r>
      <w:r>
        <w:rPr>
          <w:rFonts w:ascii="Arial" w:hAnsi="Arial"/>
          <w:sz w:val="21"/>
        </w:rPr>
        <w:t>Protéger les données lorsqu'elles circulent sur les réseaux (p. ex. TLS, RPV).</w:t>
      </w:r>
    </w:p>
    <w:p>
      <w:r>
        <w:rPr>
          <w:rFonts w:ascii="Arial" w:hAnsi="Arial"/>
          <w:b/>
          <w:sz w:val="21"/>
        </w:rPr>
        <w:t xml:space="preserve">Chiffrement au repos: </w:t>
      </w:r>
      <w:r>
        <w:rPr>
          <w:rFonts w:ascii="Arial" w:hAnsi="Arial"/>
          <w:sz w:val="21"/>
        </w:rPr>
        <w:t>Protéger les données stockées (disque intégral, base de données, niveau fichier).</w:t>
      </w:r>
    </w:p>
    <w:p>
      <w:r>
        <w:rPr>
          <w:rFonts w:ascii="Arial" w:hAnsi="Arial"/>
          <w:b/>
          <w:sz w:val="21"/>
        </w:rPr>
        <w:t xml:space="preserve">Gestion des clés cryptographiques: </w:t>
      </w:r>
      <w:r>
        <w:rPr>
          <w:rFonts w:ascii="Arial" w:hAnsi="Arial"/>
          <w:sz w:val="21"/>
        </w:rPr>
        <w:t>Générer, distribuer, stocker, renouveler et détruire les clés de façon sécurisée.</w:t>
      </w:r>
    </w:p>
    <w:p>
      <w:r>
        <w:rPr>
          <w:rFonts w:ascii="Arial" w:hAnsi="Arial"/>
          <w:b/>
          <w:sz w:val="21"/>
        </w:rPr>
        <w:t xml:space="preserve">Refus par défaut: </w:t>
      </w:r>
      <w:r>
        <w:rPr>
          <w:rFonts w:ascii="Arial" w:hAnsi="Arial"/>
          <w:sz w:val="21"/>
        </w:rPr>
        <w:t>Bloquer toutes les communications sauf celles explicitement permises.</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de la politique; approuver l'architecture réseau et les normes cryptographiques; superviser la défense des frontières.</w:t>
            </w:r>
          </w:p>
        </w:tc>
      </w:tr>
      <w:tr>
        <w:tc>
          <w:tcPr>
            <w:tcW w:type="dxa" w:w="5040"/>
          </w:tcPr>
          <w:p>
            <w:r/>
            <w:r>
              <w:rPr>
                <w:rFonts w:ascii="Arial" w:hAnsi="Arial"/>
                <w:b w:val="0"/>
                <w:sz w:val="20"/>
              </w:rPr>
              <w:t>[Administrateur système]</w:t>
            </w:r>
          </w:p>
        </w:tc>
        <w:tc>
          <w:tcPr>
            <w:tcW w:type="dxa" w:w="5040"/>
          </w:tcPr>
          <w:p>
            <w:r/>
            <w:r>
              <w:rPr>
                <w:rFonts w:ascii="Arial" w:hAnsi="Arial"/>
                <w:b w:val="0"/>
                <w:sz w:val="20"/>
              </w:rPr>
              <w:t>Mettre en œuvre pare-feu, segmentation, chiffrement et gestion des clés; surveiller les équipements de frontière.</w:t>
            </w:r>
          </w:p>
        </w:tc>
      </w:tr>
      <w:tr>
        <w:tc>
          <w:tcPr>
            <w:tcW w:type="dxa" w:w="5040"/>
          </w:tcPr>
          <w:p>
            <w:r/>
            <w:r>
              <w:rPr>
                <w:rFonts w:ascii="Arial" w:hAnsi="Arial"/>
                <w:b w:val="0"/>
                <w:sz w:val="20"/>
              </w:rPr>
              <w:t>Tous les utilisateurs</w:t>
            </w:r>
          </w:p>
        </w:tc>
        <w:tc>
          <w:tcPr>
            <w:tcW w:type="dxa" w:w="5040"/>
          </w:tcPr>
          <w:p>
            <w:r/>
            <w:r>
              <w:rPr>
                <w:rFonts w:ascii="Arial" w:hAnsi="Arial"/>
                <w:b w:val="0"/>
                <w:sz w:val="20"/>
              </w:rPr>
              <w:t>Utiliser des canaux approuvés et chiffrés; ne pas contourner les contrôles réseau; signaler les anomalies.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Protection des frontières</w:t>
      </w:r>
    </w:p>
    <w:p>
      <w:r>
        <w:rPr>
          <w:rFonts w:ascii="Arial" w:hAnsi="Arial"/>
          <w:sz w:val="21"/>
        </w:rPr>
        <w:t>Les communications aux frontières externes et internes clés doivent être surveillées et contrôlées au moyen d'interfaces gérées (p. ex. pare-feu), avec des règles de refus par défaut et une surveillance centralisée.</w:t>
      </w:r>
    </w:p>
    <w:p>
      <w:r>
        <w:rPr>
          <w:rFonts w:ascii="Arial" w:hAnsi="Arial"/>
          <w:b/>
          <w:color w:val="2E5FA3"/>
          <w:sz w:val="21"/>
        </w:rPr>
        <w:t>PS-2  Segmentation et refus par défaut</w:t>
      </w:r>
    </w:p>
    <w:p>
      <w:r>
        <w:rPr>
          <w:rFonts w:ascii="Arial" w:hAnsi="Arial"/>
          <w:sz w:val="21"/>
        </w:rPr>
        <w:t>Les systèmes contenant des CUI doivent être placés dans des segments protégés; les communications réseau doivent être en refus par défaut et ne permettre que les flux explicitement approuvés.</w:t>
      </w:r>
    </w:p>
    <w:p>
      <w:r>
        <w:rPr>
          <w:rFonts w:ascii="Arial" w:hAnsi="Arial"/>
          <w:b/>
          <w:color w:val="2E5FA3"/>
          <w:sz w:val="21"/>
        </w:rPr>
        <w:t>PS-3  Chiffrement en transit</w:t>
      </w:r>
    </w:p>
    <w:p>
      <w:r>
        <w:rPr>
          <w:rFonts w:ascii="Arial" w:hAnsi="Arial"/>
          <w:sz w:val="21"/>
        </w:rPr>
        <w:t>Toute transmission de CUI doit utiliser un chiffrement validé (TLS 1.2+ ou l'équivalent / RPV approuvé). Les protocoles désuets et algorithmes faibles doivent être désactivés.</w:t>
      </w:r>
    </w:p>
    <w:p>
      <w:r>
        <w:rPr>
          <w:rFonts w:ascii="Arial" w:hAnsi="Arial"/>
          <w:b/>
          <w:color w:val="2E5FA3"/>
          <w:sz w:val="21"/>
        </w:rPr>
        <w:t>PS-4  Chiffrement au repos</w:t>
      </w:r>
    </w:p>
    <w:p>
      <w:r>
        <w:rPr>
          <w:rFonts w:ascii="Arial" w:hAnsi="Arial"/>
          <w:sz w:val="21"/>
        </w:rPr>
        <w:t>Les CUI au repos doivent être protégés par un chiffrement validé sur les serveurs, postes, bases de données et appareils portatifs.</w:t>
      </w:r>
    </w:p>
    <w:p>
      <w:r>
        <w:rPr>
          <w:rFonts w:ascii="Arial" w:hAnsi="Arial"/>
          <w:b/>
          <w:color w:val="2E5FA3"/>
          <w:sz w:val="21"/>
        </w:rPr>
        <w:t>PS-5  Protection cryptographique (FIPS)</w:t>
      </w:r>
    </w:p>
    <w:p>
      <w:r>
        <w:rPr>
          <w:rFonts w:ascii="Arial" w:hAnsi="Arial"/>
          <w:sz w:val="21"/>
        </w:rPr>
        <w:t>La cryptographie utilisée pour protéger les CUI doit recourir à des modules cryptographiques validés (p. ex. validés FIPS), et leurs emplacements d'application doivent être documentés.</w:t>
      </w:r>
    </w:p>
    <w:p>
      <w:r>
        <w:rPr>
          <w:rFonts w:ascii="Arial" w:hAnsi="Arial"/>
          <w:b/>
          <w:color w:val="2E5FA3"/>
          <w:sz w:val="21"/>
        </w:rPr>
        <w:t>PS-6  Gestion des clés</w:t>
      </w:r>
    </w:p>
    <w:p>
      <w:r>
        <w:rPr>
          <w:rFonts w:ascii="Arial" w:hAnsi="Arial"/>
          <w:sz w:val="21"/>
        </w:rPr>
        <w:t>Les clés cryptographiques doivent être établies et gérées de façon sécurisée (génération, distribution, stockage, renouvellement et destruction), avec un accès restreint.</w:t>
      </w:r>
    </w:p>
    <w:p>
      <w:r>
        <w:rPr>
          <w:rFonts w:ascii="Arial" w:hAnsi="Arial"/>
          <w:b/>
          <w:color w:val="2E5FA3"/>
          <w:sz w:val="21"/>
        </w:rPr>
        <w:t>PS-7  Information dans les ressources partagées</w:t>
      </w:r>
    </w:p>
    <w:p>
      <w:r>
        <w:rPr>
          <w:rFonts w:ascii="Arial" w:hAnsi="Arial"/>
          <w:sz w:val="21"/>
        </w:rPr>
        <w:t>Les systèmes doivent empêcher tout transfert non autorisé ou non intentionnel d'information par les ressources partagées (p. ex. mémoire, réutilisation du stockage).</w:t>
      </w:r>
    </w:p>
    <w:p>
      <w:r>
        <w:rPr>
          <w:rFonts w:ascii="Arial" w:hAnsi="Arial"/>
          <w:b/>
          <w:color w:val="2E5FA3"/>
          <w:sz w:val="21"/>
        </w:rPr>
        <w:t>PS-8  Déconnexion réseau et authenticité de session</w:t>
      </w:r>
    </w:p>
    <w:p>
      <w:r>
        <w:rPr>
          <w:rFonts w:ascii="Arial" w:hAnsi="Arial"/>
          <w:sz w:val="21"/>
        </w:rPr>
        <w:t>Les sessions réseau doivent être terminées après une période d'inactivité définie ou à la fin de la session, et l'authenticité des sessions protégée (p. ex. contre le détournement).</w:t>
      </w:r>
    </w:p>
    <w:p>
      <w:r>
        <w:rPr>
          <w:rFonts w:ascii="Arial" w:hAnsi="Arial"/>
          <w:b/>
          <w:color w:val="2E5FA3"/>
          <w:sz w:val="21"/>
        </w:rPr>
        <w:t>PS-9  Dispositifs collaboratifs et code mobile</w:t>
      </w:r>
    </w:p>
    <w:p>
      <w:r>
        <w:rPr>
          <w:rFonts w:ascii="Arial" w:hAnsi="Arial"/>
          <w:sz w:val="21"/>
        </w:rPr>
        <w:t>Les dispositifs informatiques collaboratifs (p. ex. caméras, microphones) doivent indiquer leur utilisation active et être contrôlables; le code mobile doit être restreint à un usage approuvé et contrôlé.</w:t>
      </w:r>
    </w:p>
    <w:p>
      <w:pPr>
        <w:spacing w:before="200" w:after="80"/>
      </w:pPr>
      <w:r>
        <w:rPr>
          <w:rFonts w:ascii="Arial" w:hAnsi="Arial"/>
          <w:b/>
          <w:color w:val="2E5FA3"/>
          <w:sz w:val="26"/>
        </w:rPr>
        <w:t>6.  Procédures et preuves d'audit</w:t>
      </w:r>
    </w:p>
    <w:p>
      <w:r>
        <w:rPr>
          <w:rFonts w:ascii="Arial" w:hAnsi="Arial"/>
          <w:sz w:val="21"/>
        </w:rPr>
        <w:t>6.1  Défense du réseau</w:t>
      </w:r>
    </w:p>
    <w:p>
      <w:pPr>
        <w:ind w:left="360"/>
      </w:pPr>
      <w:r>
        <w:rPr>
          <w:rFonts w:ascii="Arial" w:hAnsi="Arial"/>
          <w:sz w:val="21"/>
        </w:rPr>
        <w:t>•  Appliquer le refus par défaut aux frontières; segmenter les CUI; surveiller les équipements de frontière de façon centralisée.</w:t>
      </w:r>
    </w:p>
    <w:p>
      <w:pPr>
        <w:ind w:left="360"/>
      </w:pPr>
      <w:r>
        <w:rPr>
          <w:rFonts w:ascii="Arial" w:hAnsi="Arial"/>
          <w:sz w:val="21"/>
        </w:rPr>
        <w:t>•  Terminer les sessions inactives; protéger l'authenticité des sessions.</w:t>
      </w:r>
    </w:p>
    <w:p>
      <w:r>
        <w:rPr>
          <w:rFonts w:ascii="Arial" w:hAnsi="Arial"/>
          <w:b/>
          <w:sz w:val="21"/>
        </w:rPr>
        <w:t xml:space="preserve">Preuves d'audit : </w:t>
      </w:r>
      <w:r>
        <w:rPr>
          <w:rFonts w:ascii="Arial" w:hAnsi="Arial"/>
          <w:sz w:val="21"/>
        </w:rPr>
        <w:t>Règles de pare-feu; schémas de segmentation; journaux des équipements de frontière; configuration des délais de session.</w:t>
      </w:r>
    </w:p>
    <w:p>
      <w:r>
        <w:rPr>
          <w:rFonts w:ascii="Arial" w:hAnsi="Arial"/>
          <w:sz w:val="21"/>
        </w:rPr>
        <w:t>6.2  Cryptographie</w:t>
      </w:r>
    </w:p>
    <w:p>
      <w:pPr>
        <w:ind w:left="360"/>
      </w:pPr>
      <w:r>
        <w:rPr>
          <w:rFonts w:ascii="Arial" w:hAnsi="Arial"/>
          <w:sz w:val="21"/>
        </w:rPr>
        <w:t>•  Imposer TLS 1.2+/RPV approuvé; chiffrer les CUI au repos avec des modules validés.</w:t>
      </w:r>
    </w:p>
    <w:p>
      <w:pPr>
        <w:ind w:left="360"/>
      </w:pPr>
      <w:r>
        <w:rPr>
          <w:rFonts w:ascii="Arial" w:hAnsi="Arial"/>
          <w:sz w:val="21"/>
        </w:rPr>
        <w:t>•  Gérer les clés tout au long de leur cycle de vie avec un accès restreint.</w:t>
      </w:r>
    </w:p>
    <w:p>
      <w:r>
        <w:rPr>
          <w:rFonts w:ascii="Arial" w:hAnsi="Arial"/>
          <w:b/>
          <w:sz w:val="21"/>
        </w:rPr>
        <w:t xml:space="preserve">Preuves d'audit : </w:t>
      </w:r>
      <w:r>
        <w:rPr>
          <w:rFonts w:ascii="Arial" w:hAnsi="Arial"/>
          <w:sz w:val="21"/>
        </w:rPr>
        <w:t>Configuration TLS/RPV; preuves de chiffrement au repos; liste des modules FIPS; procédures de gestion des clés.</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la défense des frontières et la segmentation sont appliquées, que les CUI sont chiffrés en transit et au repos avec une cryptographie validée, et que les clés sont gérées de façon sécurisée.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de contrôle d'accès — accès à distance et contrôles sans fil.</w:t>
      </w:r>
    </w:p>
    <w:p>
      <w:pPr>
        <w:ind w:left="360"/>
      </w:pPr>
      <w:r>
        <w:rPr>
          <w:rFonts w:ascii="Arial" w:hAnsi="Arial"/>
          <w:sz w:val="21"/>
        </w:rPr>
        <w:t>•  Politique de protection des supports — chiffrement des CUI sur supports.</w:t>
      </w:r>
    </w:p>
    <w:p>
      <w:pPr>
        <w:ind w:left="360"/>
      </w:pPr>
      <w:r>
        <w:rPr>
          <w:rFonts w:ascii="Arial" w:hAnsi="Arial"/>
          <w:sz w:val="21"/>
        </w:rPr>
        <w:t>•  Politique de gestion de la configuration — configurations de référence durcies des équipements réseau.</w:t>
      </w:r>
    </w:p>
    <w:p>
      <w:pPr>
        <w:ind w:left="360"/>
      </w:pPr>
      <w:r>
        <w:rPr>
          <w:rFonts w:ascii="Arial" w:hAnsi="Arial"/>
          <w:sz w:val="21"/>
        </w:rPr>
        <w:t>•  Plan de sécurité du système (SSP) — architecture réseau et flux de CUI.</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03.13);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03.13.01  Protection des frontières</w:t>
            </w:r>
          </w:p>
        </w:tc>
        <w:tc>
          <w:tcPr>
            <w:tcW w:type="dxa" w:w="3360"/>
          </w:tcPr>
          <w:p>
            <w:r/>
            <w:r>
              <w:rPr>
                <w:rFonts w:ascii="Arial" w:hAnsi="Arial"/>
                <w:b w:val="0"/>
                <w:sz w:val="20"/>
              </w:rPr>
              <w:t>PS-1 — frontières gérées</w:t>
            </w:r>
          </w:p>
        </w:tc>
        <w:tc>
          <w:tcPr>
            <w:tcW w:type="dxa" w:w="3360"/>
          </w:tcPr>
          <w:p>
            <w:r/>
            <w:r>
              <w:rPr>
                <w:rFonts w:ascii="Arial" w:hAnsi="Arial"/>
                <w:b w:val="0"/>
                <w:sz w:val="20"/>
              </w:rPr>
              <w:t>Règles de pare-feu; surveillance des frontières</w:t>
            </w:r>
          </w:p>
        </w:tc>
      </w:tr>
      <w:tr>
        <w:tc>
          <w:tcPr>
            <w:tcW w:type="dxa" w:w="3360"/>
          </w:tcPr>
          <w:p>
            <w:r/>
            <w:r>
              <w:rPr>
                <w:rFonts w:ascii="Arial" w:hAnsi="Arial"/>
                <w:b w:val="0"/>
                <w:sz w:val="20"/>
              </w:rPr>
              <w:t>03.13.04  Information dans les ressources partagées</w:t>
            </w:r>
          </w:p>
        </w:tc>
        <w:tc>
          <w:tcPr>
            <w:tcW w:type="dxa" w:w="3360"/>
          </w:tcPr>
          <w:p>
            <w:r/>
            <w:r>
              <w:rPr>
                <w:rFonts w:ascii="Arial" w:hAnsi="Arial"/>
                <w:b w:val="0"/>
                <w:sz w:val="20"/>
              </w:rPr>
              <w:t>PS-7 — empêcher les fuites par ressources partagées</w:t>
            </w:r>
          </w:p>
        </w:tc>
        <w:tc>
          <w:tcPr>
            <w:tcW w:type="dxa" w:w="3360"/>
          </w:tcPr>
          <w:p>
            <w:r/>
            <w:r>
              <w:rPr>
                <w:rFonts w:ascii="Arial" w:hAnsi="Arial"/>
                <w:b w:val="0"/>
                <w:sz w:val="20"/>
              </w:rPr>
              <w:t>Config empêchant les fuites par réutilisation</w:t>
            </w:r>
          </w:p>
        </w:tc>
      </w:tr>
      <w:tr>
        <w:tc>
          <w:tcPr>
            <w:tcW w:type="dxa" w:w="3360"/>
          </w:tcPr>
          <w:p>
            <w:r/>
            <w:r>
              <w:rPr>
                <w:rFonts w:ascii="Arial" w:hAnsi="Arial"/>
                <w:b w:val="0"/>
                <w:sz w:val="20"/>
              </w:rPr>
              <w:t>03.13.06  Communications réseau – refus par défaut</w:t>
            </w:r>
          </w:p>
        </w:tc>
        <w:tc>
          <w:tcPr>
            <w:tcW w:type="dxa" w:w="3360"/>
          </w:tcPr>
          <w:p>
            <w:r/>
            <w:r>
              <w:rPr>
                <w:rFonts w:ascii="Arial" w:hAnsi="Arial"/>
                <w:b w:val="0"/>
                <w:sz w:val="20"/>
              </w:rPr>
              <w:t>PS-2 — flux en refus par défaut</w:t>
            </w:r>
          </w:p>
        </w:tc>
        <w:tc>
          <w:tcPr>
            <w:tcW w:type="dxa" w:w="3360"/>
          </w:tcPr>
          <w:p>
            <w:r/>
            <w:r>
              <w:rPr>
                <w:rFonts w:ascii="Arial" w:hAnsi="Arial"/>
                <w:b w:val="0"/>
                <w:sz w:val="20"/>
              </w:rPr>
              <w:t>Ensembles de règles de pare-feu en refus par défaut</w:t>
            </w:r>
          </w:p>
        </w:tc>
      </w:tr>
      <w:tr>
        <w:tc>
          <w:tcPr>
            <w:tcW w:type="dxa" w:w="3360"/>
          </w:tcPr>
          <w:p>
            <w:r/>
            <w:r>
              <w:rPr>
                <w:rFonts w:ascii="Arial" w:hAnsi="Arial"/>
                <w:b w:val="0"/>
                <w:sz w:val="20"/>
              </w:rPr>
              <w:t>03.13.08  Confidentialité en transmission et au stockage</w:t>
            </w:r>
          </w:p>
        </w:tc>
        <w:tc>
          <w:tcPr>
            <w:tcW w:type="dxa" w:w="3360"/>
          </w:tcPr>
          <w:p>
            <w:r/>
            <w:r>
              <w:rPr>
                <w:rFonts w:ascii="Arial" w:hAnsi="Arial"/>
                <w:b w:val="0"/>
                <w:sz w:val="20"/>
              </w:rPr>
              <w:t>PS-3, PS-4 — chiffrement en transit et au repos</w:t>
            </w:r>
          </w:p>
        </w:tc>
        <w:tc>
          <w:tcPr>
            <w:tcW w:type="dxa" w:w="3360"/>
          </w:tcPr>
          <w:p>
            <w:r/>
            <w:r>
              <w:rPr>
                <w:rFonts w:ascii="Arial" w:hAnsi="Arial"/>
                <w:b w:val="0"/>
                <w:sz w:val="20"/>
              </w:rPr>
              <w:t>Preuves de chiffrement TLS/RPV et au repos</w:t>
            </w:r>
          </w:p>
        </w:tc>
      </w:tr>
      <w:tr>
        <w:tc>
          <w:tcPr>
            <w:tcW w:type="dxa" w:w="3360"/>
          </w:tcPr>
          <w:p>
            <w:r/>
            <w:r>
              <w:rPr>
                <w:rFonts w:ascii="Arial" w:hAnsi="Arial"/>
                <w:b w:val="0"/>
                <w:sz w:val="20"/>
              </w:rPr>
              <w:t>03.13.09  Déconnexion réseau</w:t>
            </w:r>
          </w:p>
        </w:tc>
        <w:tc>
          <w:tcPr>
            <w:tcW w:type="dxa" w:w="3360"/>
          </w:tcPr>
          <w:p>
            <w:r/>
            <w:r>
              <w:rPr>
                <w:rFonts w:ascii="Arial" w:hAnsi="Arial"/>
                <w:b w:val="0"/>
                <w:sz w:val="20"/>
              </w:rPr>
              <w:t>PS-8 — fin de session</w:t>
            </w:r>
          </w:p>
        </w:tc>
        <w:tc>
          <w:tcPr>
            <w:tcW w:type="dxa" w:w="3360"/>
          </w:tcPr>
          <w:p>
            <w:r/>
            <w:r>
              <w:rPr>
                <w:rFonts w:ascii="Arial" w:hAnsi="Arial"/>
                <w:b w:val="0"/>
                <w:sz w:val="20"/>
              </w:rPr>
              <w:t>Configuration de déconnexion par inactivité</w:t>
            </w:r>
          </w:p>
        </w:tc>
      </w:tr>
      <w:tr>
        <w:tc>
          <w:tcPr>
            <w:tcW w:type="dxa" w:w="3360"/>
          </w:tcPr>
          <w:p>
            <w:r/>
            <w:r>
              <w:rPr>
                <w:rFonts w:ascii="Arial" w:hAnsi="Arial"/>
                <w:b w:val="0"/>
                <w:sz w:val="20"/>
              </w:rPr>
              <w:t>03.13.10  Établissement et gestion des clés</w:t>
            </w:r>
          </w:p>
        </w:tc>
        <w:tc>
          <w:tcPr>
            <w:tcW w:type="dxa" w:w="3360"/>
          </w:tcPr>
          <w:p>
            <w:r/>
            <w:r>
              <w:rPr>
                <w:rFonts w:ascii="Arial" w:hAnsi="Arial"/>
                <w:b w:val="0"/>
                <w:sz w:val="20"/>
              </w:rPr>
              <w:t>PS-6 — gestion des clés</w:t>
            </w:r>
          </w:p>
        </w:tc>
        <w:tc>
          <w:tcPr>
            <w:tcW w:type="dxa" w:w="3360"/>
          </w:tcPr>
          <w:p>
            <w:r/>
            <w:r>
              <w:rPr>
                <w:rFonts w:ascii="Arial" w:hAnsi="Arial"/>
                <w:b w:val="0"/>
                <w:sz w:val="20"/>
              </w:rPr>
              <w:t>Procédures et preuves de gestion des clés</w:t>
            </w:r>
          </w:p>
        </w:tc>
      </w:tr>
      <w:tr>
        <w:tc>
          <w:tcPr>
            <w:tcW w:type="dxa" w:w="3360"/>
          </w:tcPr>
          <w:p>
            <w:r/>
            <w:r>
              <w:rPr>
                <w:rFonts w:ascii="Arial" w:hAnsi="Arial"/>
                <w:b w:val="0"/>
                <w:sz w:val="20"/>
              </w:rPr>
              <w:t>03.13.11  Protection cryptographique</w:t>
            </w:r>
          </w:p>
        </w:tc>
        <w:tc>
          <w:tcPr>
            <w:tcW w:type="dxa" w:w="3360"/>
          </w:tcPr>
          <w:p>
            <w:r/>
            <w:r>
              <w:rPr>
                <w:rFonts w:ascii="Arial" w:hAnsi="Arial"/>
                <w:b w:val="0"/>
                <w:sz w:val="20"/>
              </w:rPr>
              <w:t>PS-5 — cryptographie validée</w:t>
            </w:r>
          </w:p>
        </w:tc>
        <w:tc>
          <w:tcPr>
            <w:tcW w:type="dxa" w:w="3360"/>
          </w:tcPr>
          <w:p>
            <w:r/>
            <w:r>
              <w:rPr>
                <w:rFonts w:ascii="Arial" w:hAnsi="Arial"/>
                <w:b w:val="0"/>
                <w:sz w:val="20"/>
              </w:rPr>
              <w:t>Liste des modules validés FIPS; carte d'utilisation</w:t>
            </w:r>
          </w:p>
        </w:tc>
      </w:tr>
      <w:tr>
        <w:tc>
          <w:tcPr>
            <w:tcW w:type="dxa" w:w="3360"/>
          </w:tcPr>
          <w:p>
            <w:r/>
            <w:r>
              <w:rPr>
                <w:rFonts w:ascii="Arial" w:hAnsi="Arial"/>
                <w:b w:val="0"/>
                <w:sz w:val="20"/>
              </w:rPr>
              <w:t>03.13.12  Dispositifs et applications collaboratifs</w:t>
            </w:r>
          </w:p>
        </w:tc>
        <w:tc>
          <w:tcPr>
            <w:tcW w:type="dxa" w:w="3360"/>
          </w:tcPr>
          <w:p>
            <w:r/>
            <w:r>
              <w:rPr>
                <w:rFonts w:ascii="Arial" w:hAnsi="Arial"/>
                <w:b w:val="0"/>
                <w:sz w:val="20"/>
              </w:rPr>
              <w:t>PS-9 — contrôle des dispositifs collaboratifs</w:t>
            </w:r>
          </w:p>
        </w:tc>
        <w:tc>
          <w:tcPr>
            <w:tcW w:type="dxa" w:w="3360"/>
          </w:tcPr>
          <w:p>
            <w:r/>
            <w:r>
              <w:rPr>
                <w:rFonts w:ascii="Arial" w:hAnsi="Arial"/>
                <w:b w:val="0"/>
                <w:sz w:val="20"/>
              </w:rPr>
              <w:t>Config d'indicateur et de contrôle caméra/micro</w:t>
            </w:r>
          </w:p>
        </w:tc>
      </w:tr>
      <w:tr>
        <w:tc>
          <w:tcPr>
            <w:tcW w:type="dxa" w:w="3360"/>
          </w:tcPr>
          <w:p>
            <w:r/>
            <w:r>
              <w:rPr>
                <w:rFonts w:ascii="Arial" w:hAnsi="Arial"/>
                <w:b w:val="0"/>
                <w:sz w:val="20"/>
              </w:rPr>
              <w:t>03.13.13  Code mobile</w:t>
            </w:r>
          </w:p>
        </w:tc>
        <w:tc>
          <w:tcPr>
            <w:tcW w:type="dxa" w:w="3360"/>
          </w:tcPr>
          <w:p>
            <w:r/>
            <w:r>
              <w:rPr>
                <w:rFonts w:ascii="Arial" w:hAnsi="Arial"/>
                <w:b w:val="0"/>
                <w:sz w:val="20"/>
              </w:rPr>
              <w:t>PS-9 — contrôle du code mobile</w:t>
            </w:r>
          </w:p>
        </w:tc>
        <w:tc>
          <w:tcPr>
            <w:tcW w:type="dxa" w:w="3360"/>
          </w:tcPr>
          <w:p>
            <w:r/>
            <w:r>
              <w:rPr>
                <w:rFonts w:ascii="Arial" w:hAnsi="Arial"/>
                <w:b w:val="0"/>
                <w:sz w:val="20"/>
              </w:rPr>
              <w:t>Configuration de restriction du code mobile</w:t>
            </w:r>
          </w:p>
        </w:tc>
      </w:tr>
      <w:tr>
        <w:tc>
          <w:tcPr>
            <w:tcW w:type="dxa" w:w="3360"/>
          </w:tcPr>
          <w:p>
            <w:r/>
            <w:r>
              <w:rPr>
                <w:rFonts w:ascii="Arial" w:hAnsi="Arial"/>
                <w:b w:val="0"/>
                <w:sz w:val="20"/>
              </w:rPr>
              <w:t>03.13.15  Authenticité de session</w:t>
            </w:r>
          </w:p>
        </w:tc>
        <w:tc>
          <w:tcPr>
            <w:tcW w:type="dxa" w:w="3360"/>
          </w:tcPr>
          <w:p>
            <w:r/>
            <w:r>
              <w:rPr>
                <w:rFonts w:ascii="Arial" w:hAnsi="Arial"/>
                <w:b w:val="0"/>
                <w:sz w:val="20"/>
              </w:rPr>
              <w:t>PS-8 — authenticité de session</w:t>
            </w:r>
          </w:p>
        </w:tc>
        <w:tc>
          <w:tcPr>
            <w:tcW w:type="dxa" w:w="3360"/>
          </w:tcPr>
          <w:p>
            <w:r/>
            <w:r>
              <w:rPr>
                <w:rFonts w:ascii="Arial" w:hAnsi="Arial"/>
                <w:b w:val="0"/>
                <w:sz w:val="20"/>
              </w:rPr>
              <w:t>Configuration de protection des sessions</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