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[INSERT ORGANIZATION LOGO]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24"/>
              </w:rPr>
              <w:t>[Organization Name]</w:t>
            </w:r>
          </w:p>
          <w:p>
            <w:r>
              <w:rPr>
                <w:rFonts w:ascii="Arial" w:hAnsi="Arial"/>
                <w:b/>
                <w:color w:val="2E5FA3"/>
                <w:sz w:val="28"/>
              </w:rPr>
              <w:t>System &amp; Information Integrity Policy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Name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System &amp; Information Integrity Policy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Version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[1.0]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Owner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Approved By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[CEO / CISO]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Effective Date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Last Reviewed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Review Cadence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Annual (or upon major change)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Classification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[CUI / Internal]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1.  Purpose</w:t>
      </w:r>
    </w:p>
    <w:p>
      <w:r>
        <w:rPr>
          <w:rFonts w:ascii="Arial" w:hAnsi="Arial"/>
          <w:sz w:val="21"/>
        </w:rPr>
        <w:t>This policy establishes how [Organization Name] identifies, reports, and corrects system flaws, and protects systems from malicious code and emerging threats, for environments that process, store, or transmit Controlled Unclassified Information (CUI). Timely patching, anti-malware, threat-advisory awareness, and system monitoring are core defenses against compromise. This policy defines the timelines and tools that keep systems trustworthy.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2.  Scope</w:t>
      </w:r>
    </w:p>
    <w:p>
      <w:r>
        <w:rPr>
          <w:rFonts w:ascii="Arial" w:hAnsi="Arial"/>
          <w:sz w:val="21"/>
        </w:rPr>
        <w:t>This policy applies to:</w:t>
      </w:r>
    </w:p>
    <w:p>
      <w:pPr>
        <w:ind w:left="360"/>
      </w:pPr>
      <w:r>
        <w:rPr>
          <w:rFonts w:ascii="Arial" w:hAnsi="Arial"/>
          <w:sz w:val="21"/>
        </w:rPr>
        <w:t>•  All in-scope systems, endpoints, servers, and applications.</w:t>
      </w:r>
    </w:p>
    <w:p>
      <w:pPr>
        <w:ind w:left="360"/>
      </w:pPr>
      <w:r>
        <w:rPr>
          <w:rFonts w:ascii="Arial" w:hAnsi="Arial"/>
          <w:sz w:val="21"/>
        </w:rPr>
        <w:t>•  Flaw remediation (patching), malicious-code protection, security advisories, and system monitoring.</w:t>
      </w:r>
    </w:p>
    <w:p>
      <w:pPr>
        <w:ind w:left="360"/>
      </w:pPr>
      <w:r>
        <w:rPr>
          <w:rFonts w:ascii="Arial" w:hAnsi="Arial"/>
          <w:sz w:val="21"/>
        </w:rPr>
        <w:t>•  Information that must be managed and retained for integrity.</w:t>
      </w:r>
    </w:p>
    <w:p>
      <w:r>
        <w:rPr>
          <w:rFonts w:ascii="Arial" w:hAnsi="Arial"/>
          <w:sz w:val="21"/>
        </w:rPr>
        <w:t>Where CUI is involved, the requirements in this policy are mandatory and supersede convenience or operational preferences.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3.  Definitions</w:t>
      </w:r>
    </w:p>
    <w:p>
      <w:r>
        <w:rPr>
          <w:rFonts w:ascii="Arial" w:hAnsi="Arial"/>
          <w:b/>
          <w:sz w:val="21"/>
        </w:rPr>
        <w:t xml:space="preserve">Flaw Remediation: </w:t>
      </w:r>
      <w:r>
        <w:rPr>
          <w:rFonts w:ascii="Arial" w:hAnsi="Arial"/>
          <w:sz w:val="21"/>
        </w:rPr>
        <w:t>Identifying and fixing security defects, typically through patching.</w:t>
      </w:r>
    </w:p>
    <w:p>
      <w:r>
        <w:rPr>
          <w:rFonts w:ascii="Arial" w:hAnsi="Arial"/>
          <w:b/>
          <w:sz w:val="21"/>
        </w:rPr>
        <w:t xml:space="preserve">Malicious Code: </w:t>
      </w:r>
      <w:r>
        <w:rPr>
          <w:rFonts w:ascii="Arial" w:hAnsi="Arial"/>
          <w:sz w:val="21"/>
        </w:rPr>
        <w:t>Software designed to cause harm (viruses, ransomware, trojans).</w:t>
      </w:r>
    </w:p>
    <w:p>
      <w:r>
        <w:rPr>
          <w:rFonts w:ascii="Arial" w:hAnsi="Arial"/>
          <w:b/>
          <w:sz w:val="21"/>
        </w:rPr>
        <w:t xml:space="preserve">EDR (Endpoint Detection and Response): </w:t>
      </w:r>
      <w:r>
        <w:rPr>
          <w:rFonts w:ascii="Arial" w:hAnsi="Arial"/>
          <w:sz w:val="21"/>
        </w:rPr>
        <w:t>Software that detects, investigates, and responds to threats on endpoints.</w:t>
      </w:r>
    </w:p>
    <w:p>
      <w:r>
        <w:rPr>
          <w:rFonts w:ascii="Arial" w:hAnsi="Arial"/>
          <w:b/>
          <w:sz w:val="21"/>
        </w:rPr>
        <w:t xml:space="preserve">Security Advisory: </w:t>
      </w:r>
      <w:r>
        <w:rPr>
          <w:rFonts w:ascii="Arial" w:hAnsi="Arial"/>
          <w:sz w:val="21"/>
        </w:rPr>
        <w:t>Vendor or authority notification of a vulnerability or threat requiring action.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4.  Roles &amp; Responsibilities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Own this policy; set patch SLAs; ensure anti-malware and monitoring are deployed; track advisories.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[System Administrator]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Apply patches within SLA; manage EDR/anti-malware; act on advisories; tune monitoring.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All Users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Keep devices updated; do not disable security tools; report suspicious activity.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[Senior Leadership / CISO]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Approve this policy; fund tooling; accept residual risk for documented exceptions.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5.  Policy Statements</w:t>
      </w:r>
    </w:p>
    <w:p>
      <w:r>
        <w:rPr>
          <w:rFonts w:ascii="Arial" w:hAnsi="Arial"/>
          <w:b/>
          <w:color w:val="2E5FA3"/>
          <w:sz w:val="21"/>
        </w:rPr>
        <w:t>PS-1  Flaw Remediation &amp; Patch SLAs</w:t>
      </w:r>
    </w:p>
    <w:p>
      <w:r>
        <w:rPr>
          <w:rFonts w:ascii="Arial" w:hAnsi="Arial"/>
          <w:sz w:val="21"/>
        </w:rPr>
        <w:t>Security-relevant flaws must be identified and remediated within defined timeframes based on severity (e.g., [organization-defined: critical within 15 days, high within 30 days; recommended per CISA/SLA]). Patch compliance must be measured and automated where possible.</w:t>
      </w:r>
    </w:p>
    <w:p>
      <w:r>
        <w:rPr>
          <w:rFonts w:ascii="Arial" w:hAnsi="Arial"/>
          <w:b/>
          <w:color w:val="2E5FA3"/>
          <w:sz w:val="21"/>
        </w:rPr>
        <w:t>PS-2  Malicious Code Protection</w:t>
      </w:r>
    </w:p>
    <w:p>
      <w:r>
        <w:rPr>
          <w:rFonts w:ascii="Arial" w:hAnsi="Arial"/>
          <w:sz w:val="21"/>
        </w:rPr>
        <w:t>Modern endpoint protection (EDR/anti-malware) must run on all endpoints and servers, with central management, automatic updates, and alerting. Detected malicious code must be handled under the Incident Response Policy.</w:t>
      </w:r>
    </w:p>
    <w:p>
      <w:r>
        <w:rPr>
          <w:rFonts w:ascii="Arial" w:hAnsi="Arial"/>
          <w:b/>
          <w:color w:val="2E5FA3"/>
          <w:sz w:val="21"/>
        </w:rPr>
        <w:t>PS-3  Security Alerts &amp; Advisories</w:t>
      </w:r>
    </w:p>
    <w:p>
      <w:r>
        <w:rPr>
          <w:rFonts w:ascii="Arial" w:hAnsi="Arial"/>
          <w:sz w:val="21"/>
        </w:rPr>
        <w:t>The organization must monitor authoritative security alerts and advisories (e.g., vendor, CISA) and take timely action on those affecting its systems.</w:t>
      </w:r>
    </w:p>
    <w:p>
      <w:r>
        <w:rPr>
          <w:rFonts w:ascii="Arial" w:hAnsi="Arial"/>
          <w:b/>
          <w:color w:val="2E5FA3"/>
          <w:sz w:val="21"/>
        </w:rPr>
        <w:t>PS-4  System Monitoring</w:t>
      </w:r>
    </w:p>
    <w:p>
      <w:r>
        <w:rPr>
          <w:rFonts w:ascii="Arial" w:hAnsi="Arial"/>
          <w:sz w:val="21"/>
        </w:rPr>
        <w:t>Systems and the network must be monitored for attacks and indicators of compromise (e.g., IDS/IPS, EDR telemetry), with alerts routed to a monitored queue and integrated with incident response.</w:t>
      </w:r>
    </w:p>
    <w:p>
      <w:r>
        <w:rPr>
          <w:rFonts w:ascii="Arial" w:hAnsi="Arial"/>
          <w:b/>
          <w:color w:val="2E5FA3"/>
          <w:sz w:val="21"/>
        </w:rPr>
        <w:t>PS-5  Information Management &amp; Retention</w:t>
      </w:r>
    </w:p>
    <w:p>
      <w:r>
        <w:rPr>
          <w:rFonts w:ascii="Arial" w:hAnsi="Arial"/>
          <w:sz w:val="21"/>
        </w:rPr>
        <w:t>Information within systems must be managed and retained in accordance with requirements so its integrity and availability are preserved for as long as needed.</w:t>
      </w:r>
    </w:p>
    <w:p>
      <w:r>
        <w:rPr>
          <w:rFonts w:ascii="Arial" w:hAnsi="Arial"/>
          <w:b/>
          <w:color w:val="2E5FA3"/>
          <w:sz w:val="21"/>
        </w:rPr>
        <w:t>PS-6  Integrity Verification</w:t>
      </w:r>
    </w:p>
    <w:p>
      <w:r>
        <w:rPr>
          <w:rFonts w:ascii="Arial" w:hAnsi="Arial"/>
          <w:sz w:val="21"/>
        </w:rPr>
        <w:t>Where feasible, integrity-verification mechanisms must detect unauthorized changes to software, firmware, and information.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6.  Procedures &amp; Audit Evidence</w:t>
      </w:r>
    </w:p>
    <w:p>
      <w:r>
        <w:rPr>
          <w:rFonts w:ascii="Arial" w:hAnsi="Arial"/>
          <w:sz w:val="21"/>
        </w:rPr>
        <w:t>6.1  Patch &amp; Protect</w:t>
      </w:r>
    </w:p>
    <w:p>
      <w:pPr>
        <w:ind w:left="360"/>
      </w:pPr>
      <w:r>
        <w:rPr>
          <w:rFonts w:ascii="Arial" w:hAnsi="Arial"/>
          <w:sz w:val="21"/>
        </w:rPr>
        <w:t>•  Identify flaws; apply patches within severity-based SLAs; measure compliance.</w:t>
      </w:r>
    </w:p>
    <w:p>
      <w:pPr>
        <w:ind w:left="360"/>
      </w:pPr>
      <w:r>
        <w:rPr>
          <w:rFonts w:ascii="Arial" w:hAnsi="Arial"/>
          <w:sz w:val="21"/>
        </w:rPr>
        <w:t>•  Deploy and centrally manage EDR/anti-malware with auto-updates and alerting.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Patch compliance reports; EDR console/coverage evidence; malware-handling records.</w:t>
      </w:r>
    </w:p>
    <w:p>
      <w:r>
        <w:rPr>
          <w:rFonts w:ascii="Arial" w:hAnsi="Arial"/>
          <w:sz w:val="21"/>
        </w:rPr>
        <w:t>6.2  Monitor &amp; Advise</w:t>
      </w:r>
    </w:p>
    <w:p>
      <w:pPr>
        <w:ind w:left="360"/>
      </w:pPr>
      <w:r>
        <w:rPr>
          <w:rFonts w:ascii="Arial" w:hAnsi="Arial"/>
          <w:sz w:val="21"/>
        </w:rPr>
        <w:t>•  Monitor advisories and act on relevant ones.</w:t>
      </w:r>
    </w:p>
    <w:p>
      <w:pPr>
        <w:ind w:left="360"/>
      </w:pPr>
      <w:r>
        <w:rPr>
          <w:rFonts w:ascii="Arial" w:hAnsi="Arial"/>
          <w:sz w:val="21"/>
        </w:rPr>
        <w:t>•  Monitor systems for attack indicators; route alerts to incident response.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Advisory-tracking records; monitoring/alert configuration; alert tickets.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7.  Compliance, Monitoring &amp; Enforcement</w:t>
      </w:r>
    </w:p>
    <w:p>
      <w:r>
        <w:rPr>
          <w:rFonts w:ascii="Arial" w:hAnsi="Arial"/>
          <w:sz w:val="21"/>
        </w:rPr>
        <w:t>The [IT Manager / ISSO] shall review compliance with this policy at least [quarterly] by verifying patches are applied within SLA, anti-malware/EDR is deployed and current, advisories are acted upon, and systems are monitored with alerts routed to response. Results shall be reported to [Senior Leadership / CISO].</w:t>
      </w:r>
    </w:p>
    <w:p>
      <w:r>
        <w:rPr>
          <w:rFonts w:ascii="Arial" w:hAnsi="Arial"/>
          <w:sz w:val="21"/>
        </w:rPr>
        <w:t>Violations may result in:</w:t>
      </w:r>
    </w:p>
    <w:p>
      <w:pPr>
        <w:ind w:left="360"/>
      </w:pPr>
      <w:r>
        <w:rPr>
          <w:rFonts w:ascii="Arial" w:hAnsi="Arial"/>
          <w:sz w:val="21"/>
        </w:rPr>
        <w:t>•  Remediation of the deficiency within a timeframe set by the policy owner based on risk.</w:t>
      </w:r>
    </w:p>
    <w:p>
      <w:pPr>
        <w:ind w:left="360"/>
      </w:pPr>
      <w:r>
        <w:rPr>
          <w:rFonts w:ascii="Arial" w:hAnsi="Arial"/>
          <w:sz w:val="21"/>
        </w:rPr>
        <w:t>•  Disciplinary action up to and including termination of employment or contract, consistent with [Organization Name]'s disciplinary procedures.</w:t>
      </w:r>
    </w:p>
    <w:p>
      <w:pPr>
        <w:ind w:left="360"/>
      </w:pPr>
      <w:r>
        <w:rPr>
          <w:rFonts w:ascii="Arial" w:hAnsi="Arial"/>
          <w:sz w:val="21"/>
        </w:rPr>
        <w:t>•  Referral to law enforcement and notification to government contracting officers where CUI or criminal activity is involved, as required by the applicable contract or regulation.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8.  Exceptions</w:t>
      </w:r>
    </w:p>
    <w:p>
      <w:r>
        <w:rPr>
          <w:rFonts w:ascii="Arial" w:hAnsi="Arial"/>
          <w:sz w:val="21"/>
        </w:rPr>
        <w:t>Exceptions to this policy must be rare. To request one:</w:t>
      </w:r>
    </w:p>
    <w:p>
      <w:pPr>
        <w:ind w:left="360"/>
      </w:pPr>
      <w:r>
        <w:rPr>
          <w:rFonts w:ascii="Arial" w:hAnsi="Arial"/>
          <w:sz w:val="21"/>
        </w:rPr>
        <w:t>•  The requester submits a written exception to the policy owner describing the requirement that cannot be met, the business justification, the risk introduced, and proposed compensating controls.</w:t>
      </w:r>
    </w:p>
    <w:p>
      <w:pPr>
        <w:ind w:left="360"/>
      </w:pPr>
      <w:r>
        <w:rPr>
          <w:rFonts w:ascii="Arial" w:hAnsi="Arial"/>
          <w:sz w:val="21"/>
        </w:rPr>
        <w:t>•  The policy owner assesses the risk and prepares a recommendation; [Senior Leadership / CISO] approves or denies the exception in writing.</w:t>
      </w:r>
    </w:p>
    <w:p>
      <w:pPr>
        <w:ind w:left="360"/>
      </w:pPr>
      <w:r>
        <w:rPr>
          <w:rFonts w:ascii="Arial" w:hAnsi="Arial"/>
          <w:sz w:val="21"/>
        </w:rPr>
        <w:t>•  Approved exceptions are logged in the Exception Register with an expiry of no more than [organization-defined: 12 months; recommended: 12 months], reviewed upon expiry, and reflected as a plan of action and milestones (POA&amp;M) item in the SSP where CUI systems are affected.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9.  Related Documents</w:t>
      </w:r>
    </w:p>
    <w:p>
      <w:pPr>
        <w:ind w:left="360"/>
      </w:pPr>
      <w:r>
        <w:rPr>
          <w:rFonts w:ascii="Arial" w:hAnsi="Arial"/>
          <w:sz w:val="21"/>
        </w:rPr>
        <w:t>•  Incident Response Policy &amp; Plan — handling detected threats.</w:t>
      </w:r>
    </w:p>
    <w:p>
      <w:pPr>
        <w:ind w:left="360"/>
      </w:pPr>
      <w:r>
        <w:rPr>
          <w:rFonts w:ascii="Arial" w:hAnsi="Arial"/>
          <w:sz w:val="21"/>
        </w:rPr>
        <w:t>•  Risk Assessment Policy — vulnerability scanning and prioritization.</w:t>
      </w:r>
    </w:p>
    <w:p>
      <w:pPr>
        <w:ind w:left="360"/>
      </w:pPr>
      <w:r>
        <w:rPr>
          <w:rFonts w:ascii="Arial" w:hAnsi="Arial"/>
          <w:sz w:val="21"/>
        </w:rPr>
        <w:t>•  Audit &amp; Accountability Policy — logs feeding monitoring.</w:t>
      </w:r>
    </w:p>
    <w:p>
      <w:pPr>
        <w:ind w:left="360"/>
      </w:pPr>
      <w:r>
        <w:rPr>
          <w:rFonts w:ascii="Arial" w:hAnsi="Arial"/>
          <w:sz w:val="21"/>
        </w:rPr>
        <w:t>•  Configuration Management Policy — baselines and patch deployment.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10.  Control Mapping</w:t>
      </w:r>
    </w:p>
    <w:p>
      <w:r>
        <w:rPr>
          <w:rFonts w:ascii="Arial" w:hAnsi="Arial"/>
          <w:sz w:val="21"/>
        </w:rPr>
        <w:t>The table below maps each required control to the policy statement(s) that satisfy it and the evidence an auditor will seek. Control IDs are from NIST SP 800-171 Rev 3 (family 03.14); they are equally applicable to CMMC 2.0 Level 2 and ITSP.10.171 (CPCSC).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Control ID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Policy Statement(s)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Expected Audit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03.14.01  Flaw Remediation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 — patch SLAs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Patch compliance reports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03.14.02  Malicious Code Protection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PS-2 — EDR/anti-malware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EDR coverage; update status; alerts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03.14.03  Security Alerts, Advisories, and Directives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PS-3 — advisory monitoring/action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Advisory-tracking records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03.14.06  System Monitoring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PS-4, PS-6 — monitoring; integrity checks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Monitoring/alert config; integrity-verification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03.14.08  Information Management and Retention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PS-5 — manage and retain information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Retention configuration/records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11.  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 / Role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1.0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Initial policy release.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8096B0"/>
        <w:sz w:val="15"/>
        <w:szCs w:val="15"/>
      </w:rPr>
      <w:t xml:space="preserve">CONFIDENTIAL — For internal use only. Review annually or upon significant change.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1"/>
      </w:pBdr>
      <w:spacing w:after="80"/>
      <w:jc w:val="right"/>
    </w:pPr>
    <w:r>
      <w:rPr>
        <w:rFonts w:ascii="Arial" w:cs="Arial" w:eastAsia="Arial" w:hAnsi="Arial"/>
        <w:color w:val="8096B0"/>
        <w:sz w:val="16"/>
        <w:szCs w:val="16"/>
      </w:rPr>
      <w:t xml:space="preserve">[Organization Name]  |  Access Control Policy  |  v[1.0]  |  </w:t>
    </w:r>
    <w:r>
      <w:rPr>
        <w:rFonts w:ascii="Arial" w:cs="Arial" w:eastAsia="Arial" w:hAnsi="Arial"/>
        <w:color w:val="8096B0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S-%1."/>
      <w:lvlJc w:val="left"/>
      <w:pPr>
        <w:ind w:left="70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2026-06-06T13:50:17.851Z</dcterms:created>
  <dcterms:modified xsi:type="dcterms:W3CDTF">2026-06-06T13:50:17.852Z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