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d'intégrité des systèmes et de l'information</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d'intégrité des systèmes et de l'information</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cerne, signale et corrige les failles des systèmes et protège ceux-ci contre le code malveillant et les menaces émergentes, pour les environnements qui traitent, stockent ou transmettent de l'information contrôlée non classifiée (CUI). L'application rapide des correctifs, l'antimaliciel, la veille des avis de menaces et la surveillance des systèmes sont des défenses essentielles. Cette politique définit les délais et les outils qui maintiennent les systèmes dignes de confiance.</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systèmes, postes, serveurs et applications visés.</w:t>
      </w:r>
    </w:p>
    <w:p>
      <w:pPr>
        <w:ind w:left="360"/>
      </w:pPr>
      <w:r>
        <w:rPr>
          <w:rFonts w:ascii="Arial" w:hAnsi="Arial"/>
          <w:sz w:val="21"/>
        </w:rPr>
        <w:t>•  La correction des failles (application de correctifs), la protection contre le code malveillant, les avis de sécurité et la surveillance des systèmes.</w:t>
      </w:r>
    </w:p>
    <w:p>
      <w:pPr>
        <w:ind w:left="360"/>
      </w:pPr>
      <w:r>
        <w:rPr>
          <w:rFonts w:ascii="Arial" w:hAnsi="Arial"/>
          <w:sz w:val="21"/>
        </w:rPr>
        <w:t>•  L'information devant être gérée et conservée pour son intégrité.</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Correction des failles: </w:t>
      </w:r>
      <w:r>
        <w:rPr>
          <w:rFonts w:ascii="Arial" w:hAnsi="Arial"/>
          <w:sz w:val="21"/>
        </w:rPr>
        <w:t>Cerner et corriger les défauts de sécurité, généralement par l'application de correctifs.</w:t>
      </w:r>
    </w:p>
    <w:p>
      <w:r>
        <w:rPr>
          <w:rFonts w:ascii="Arial" w:hAnsi="Arial"/>
          <w:b/>
          <w:sz w:val="21"/>
        </w:rPr>
        <w:t xml:space="preserve">Code malveillant: </w:t>
      </w:r>
      <w:r>
        <w:rPr>
          <w:rFonts w:ascii="Arial" w:hAnsi="Arial"/>
          <w:sz w:val="21"/>
        </w:rPr>
        <w:t>Logiciel conçu pour nuire (virus, rançongiciel, chevaux de Troie).</w:t>
      </w:r>
    </w:p>
    <w:p>
      <w:r>
        <w:rPr>
          <w:rFonts w:ascii="Arial" w:hAnsi="Arial"/>
          <w:b/>
          <w:sz w:val="21"/>
        </w:rPr>
        <w:t xml:space="preserve">EDR (détection et réponse sur les terminaux): </w:t>
      </w:r>
      <w:r>
        <w:rPr>
          <w:rFonts w:ascii="Arial" w:hAnsi="Arial"/>
          <w:sz w:val="21"/>
        </w:rPr>
        <w:t>Logiciel qui détecte, investigue et répond aux menaces sur les terminaux.</w:t>
      </w:r>
    </w:p>
    <w:p>
      <w:r>
        <w:rPr>
          <w:rFonts w:ascii="Arial" w:hAnsi="Arial"/>
          <w:b/>
          <w:sz w:val="21"/>
        </w:rPr>
        <w:t xml:space="preserve">Avis de sécurité: </w:t>
      </w:r>
      <w:r>
        <w:rPr>
          <w:rFonts w:ascii="Arial" w:hAnsi="Arial"/>
          <w:sz w:val="21"/>
        </w:rPr>
        <w:t>Notification d'un fournisseur ou d'une autorité concernant une vulnérabilité ou une menace nécessitant une action.</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fixer les délais de correctifs; assurer le déploiement de l'antimaliciel et de la surveillance; suivre les avis.</w:t>
            </w:r>
          </w:p>
        </w:tc>
      </w:tr>
      <w:tr>
        <w:tc>
          <w:tcPr>
            <w:tcW w:type="dxa" w:w="5040"/>
          </w:tcPr>
          <w:p>
            <w:r/>
            <w:r>
              <w:rPr>
                <w:rFonts w:ascii="Arial" w:hAnsi="Arial"/>
                <w:b w:val="0"/>
                <w:sz w:val="20"/>
              </w:rPr>
              <w:t>[Administrateur système]</w:t>
            </w:r>
          </w:p>
        </w:tc>
        <w:tc>
          <w:tcPr>
            <w:tcW w:type="dxa" w:w="5040"/>
          </w:tcPr>
          <w:p>
            <w:r/>
            <w:r>
              <w:rPr>
                <w:rFonts w:ascii="Arial" w:hAnsi="Arial"/>
                <w:b w:val="0"/>
                <w:sz w:val="20"/>
              </w:rPr>
              <w:t>Appliquer les correctifs dans les délais; gérer l'EDR/antimaliciel; agir sur les avis; ajuster la surveillance.</w:t>
            </w:r>
          </w:p>
        </w:tc>
      </w:tr>
      <w:tr>
        <w:tc>
          <w:tcPr>
            <w:tcW w:type="dxa" w:w="5040"/>
          </w:tcPr>
          <w:p>
            <w:r/>
            <w:r>
              <w:rPr>
                <w:rFonts w:ascii="Arial" w:hAnsi="Arial"/>
                <w:b w:val="0"/>
                <w:sz w:val="20"/>
              </w:rPr>
              <w:t>Tous les utilisateurs</w:t>
            </w:r>
          </w:p>
        </w:tc>
        <w:tc>
          <w:tcPr>
            <w:tcW w:type="dxa" w:w="5040"/>
          </w:tcPr>
          <w:p>
            <w:r/>
            <w:r>
              <w:rPr>
                <w:rFonts w:ascii="Arial" w:hAnsi="Arial"/>
                <w:b w:val="0"/>
                <w:sz w:val="20"/>
              </w:rPr>
              <w:t>Tenir les appareils à jour; ne pas désactiver les outils de sécurité; signaler l'activité suspecte.</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financer les outils;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Correction des failles et délais de correctifs</w:t>
      </w:r>
    </w:p>
    <w:p>
      <w:r>
        <w:rPr>
          <w:rFonts w:ascii="Arial" w:hAnsi="Arial"/>
          <w:sz w:val="21"/>
        </w:rPr>
        <w:t>Les failles pertinentes pour la sécurité doivent être cernées et corrigées dans des délais définis selon la gravité (p. ex. [défini par l'organisation : critique en 15 jours, élevée en 30 jours; recommandé selon CISA/ANS]). La conformité aux correctifs doit être mesurée et automatisée lorsque possible.</w:t>
      </w:r>
    </w:p>
    <w:p>
      <w:r>
        <w:rPr>
          <w:rFonts w:ascii="Arial" w:hAnsi="Arial"/>
          <w:b/>
          <w:color w:val="2E5FA3"/>
          <w:sz w:val="21"/>
        </w:rPr>
        <w:t>PS-2  Protection contre le code malveillant</w:t>
      </w:r>
    </w:p>
    <w:p>
      <w:r>
        <w:rPr>
          <w:rFonts w:ascii="Arial" w:hAnsi="Arial"/>
          <w:sz w:val="21"/>
        </w:rPr>
        <w:t>Une protection des terminaux moderne (EDR/antimaliciel) doit fonctionner sur tous les postes et serveurs, avec gestion centralisée, mises à jour automatiques et alertes. Le code malveillant détecté doit être traité selon la Politique de réponse aux incidents.</w:t>
      </w:r>
    </w:p>
    <w:p>
      <w:r>
        <w:rPr>
          <w:rFonts w:ascii="Arial" w:hAnsi="Arial"/>
          <w:b/>
          <w:color w:val="2E5FA3"/>
          <w:sz w:val="21"/>
        </w:rPr>
        <w:t>PS-3  Avis et alertes de sécurité</w:t>
      </w:r>
    </w:p>
    <w:p>
      <w:r>
        <w:rPr>
          <w:rFonts w:ascii="Arial" w:hAnsi="Arial"/>
          <w:sz w:val="21"/>
        </w:rPr>
        <w:t>L'organisation doit surveiller les avis et alertes de sécurité autoritatifs (p. ex. fournisseur, CISA) et agir rapidement sur ceux touchant ses systèmes.</w:t>
      </w:r>
    </w:p>
    <w:p>
      <w:r>
        <w:rPr>
          <w:rFonts w:ascii="Arial" w:hAnsi="Arial"/>
          <w:b/>
          <w:color w:val="2E5FA3"/>
          <w:sz w:val="21"/>
        </w:rPr>
        <w:t>PS-4  Surveillance des systèmes</w:t>
      </w:r>
    </w:p>
    <w:p>
      <w:r>
        <w:rPr>
          <w:rFonts w:ascii="Arial" w:hAnsi="Arial"/>
          <w:sz w:val="21"/>
        </w:rPr>
        <w:t>Les systèmes et le réseau doivent être surveillés pour les attaques et indicateurs de compromission (p. ex. IDS/IPS, télémétrie EDR), les alertes étant acheminées vers une file surveillée et intégrées à la réponse aux incidents.</w:t>
      </w:r>
    </w:p>
    <w:p>
      <w:r>
        <w:rPr>
          <w:rFonts w:ascii="Arial" w:hAnsi="Arial"/>
          <w:b/>
          <w:color w:val="2E5FA3"/>
          <w:sz w:val="21"/>
        </w:rPr>
        <w:t>PS-5  Gestion et conservation de l'information</w:t>
      </w:r>
    </w:p>
    <w:p>
      <w:r>
        <w:rPr>
          <w:rFonts w:ascii="Arial" w:hAnsi="Arial"/>
          <w:sz w:val="21"/>
        </w:rPr>
        <w:t>L'information dans les systèmes doit être gérée et conservée conformément aux exigences afin de préserver son intégrité et sa disponibilité aussi longtemps que nécessaire.</w:t>
      </w:r>
    </w:p>
    <w:p>
      <w:r>
        <w:rPr>
          <w:rFonts w:ascii="Arial" w:hAnsi="Arial"/>
          <w:b/>
          <w:color w:val="2E5FA3"/>
          <w:sz w:val="21"/>
        </w:rPr>
        <w:t>PS-6  Vérification de l'intégrité</w:t>
      </w:r>
    </w:p>
    <w:p>
      <w:r>
        <w:rPr>
          <w:rFonts w:ascii="Arial" w:hAnsi="Arial"/>
          <w:sz w:val="21"/>
        </w:rPr>
        <w:t>Lorsque possible, des mécanismes de vérification d'intégrité doivent détecter les changements non autorisés aux logiciels, micrologiciels et à l'information.</w:t>
      </w:r>
    </w:p>
    <w:p>
      <w:pPr>
        <w:spacing w:before="200" w:after="80"/>
      </w:pPr>
      <w:r>
        <w:rPr>
          <w:rFonts w:ascii="Arial" w:hAnsi="Arial"/>
          <w:b/>
          <w:color w:val="2E5FA3"/>
          <w:sz w:val="26"/>
        </w:rPr>
        <w:t>6.  Procédures et preuves d'audit</w:t>
      </w:r>
    </w:p>
    <w:p>
      <w:r>
        <w:rPr>
          <w:rFonts w:ascii="Arial" w:hAnsi="Arial"/>
          <w:sz w:val="21"/>
        </w:rPr>
        <w:t>6.1  Corriger et protéger</w:t>
      </w:r>
    </w:p>
    <w:p>
      <w:pPr>
        <w:ind w:left="360"/>
      </w:pPr>
      <w:r>
        <w:rPr>
          <w:rFonts w:ascii="Arial" w:hAnsi="Arial"/>
          <w:sz w:val="21"/>
        </w:rPr>
        <w:t>•  Cerner les failles; appliquer les correctifs dans les délais par gravité; mesurer la conformité.</w:t>
      </w:r>
    </w:p>
    <w:p>
      <w:pPr>
        <w:ind w:left="360"/>
      </w:pPr>
      <w:r>
        <w:rPr>
          <w:rFonts w:ascii="Arial" w:hAnsi="Arial"/>
          <w:sz w:val="21"/>
        </w:rPr>
        <w:t>•  Déployer et gérer de façon centralisée l'EDR/antimaliciel avec mises à jour automatiques et alertes.</w:t>
      </w:r>
    </w:p>
    <w:p>
      <w:r>
        <w:rPr>
          <w:rFonts w:ascii="Arial" w:hAnsi="Arial"/>
          <w:b/>
          <w:sz w:val="21"/>
        </w:rPr>
        <w:t xml:space="preserve">Preuves d'audit : </w:t>
      </w:r>
      <w:r>
        <w:rPr>
          <w:rFonts w:ascii="Arial" w:hAnsi="Arial"/>
          <w:sz w:val="21"/>
        </w:rPr>
        <w:t>Rapports de conformité aux correctifs; preuves de couverture EDR; registres de traitement des maliciels.</w:t>
      </w:r>
    </w:p>
    <w:p>
      <w:r>
        <w:rPr>
          <w:rFonts w:ascii="Arial" w:hAnsi="Arial"/>
          <w:sz w:val="21"/>
        </w:rPr>
        <w:t>6.2  Surveiller et veiller</w:t>
      </w:r>
    </w:p>
    <w:p>
      <w:pPr>
        <w:ind w:left="360"/>
      </w:pPr>
      <w:r>
        <w:rPr>
          <w:rFonts w:ascii="Arial" w:hAnsi="Arial"/>
          <w:sz w:val="21"/>
        </w:rPr>
        <w:t>•  Surveiller les avis et agir sur les pertinents.</w:t>
      </w:r>
    </w:p>
    <w:p>
      <w:pPr>
        <w:ind w:left="360"/>
      </w:pPr>
      <w:r>
        <w:rPr>
          <w:rFonts w:ascii="Arial" w:hAnsi="Arial"/>
          <w:sz w:val="21"/>
        </w:rPr>
        <w:t>•  Surveiller les systèmes pour les indicateurs d'attaque; acheminer les alertes à la réponse aux incidents.</w:t>
      </w:r>
    </w:p>
    <w:p>
      <w:r>
        <w:rPr>
          <w:rFonts w:ascii="Arial" w:hAnsi="Arial"/>
          <w:b/>
          <w:sz w:val="21"/>
        </w:rPr>
        <w:t xml:space="preserve">Preuves d'audit : </w:t>
      </w:r>
      <w:r>
        <w:rPr>
          <w:rFonts w:ascii="Arial" w:hAnsi="Arial"/>
          <w:sz w:val="21"/>
        </w:rPr>
        <w:t>Registres de suivi des avis; configuration de surveillance/alerte; billets d'alerte.</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les correctifs sont appliqués dans les délais, que l'antimaliciel/EDR est déployé et à jour, que les avis sont traités et que les systèmes sont surveillés avec acheminement des alertes.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et plan de réponse aux incidents — traitement des menaces détectées.</w:t>
      </w:r>
    </w:p>
    <w:p>
      <w:pPr>
        <w:ind w:left="360"/>
      </w:pPr>
      <w:r>
        <w:rPr>
          <w:rFonts w:ascii="Arial" w:hAnsi="Arial"/>
          <w:sz w:val="21"/>
        </w:rPr>
        <w:t>•  Politique d'évaluation des risques — analyse et priorisation des vulnérabilités.</w:t>
      </w:r>
    </w:p>
    <w:p>
      <w:pPr>
        <w:ind w:left="360"/>
      </w:pPr>
      <w:r>
        <w:rPr>
          <w:rFonts w:ascii="Arial" w:hAnsi="Arial"/>
          <w:sz w:val="21"/>
        </w:rPr>
        <w:t>•  Politique d'audit et de responsabilisation — journaux alimentant la surveillance.</w:t>
      </w:r>
    </w:p>
    <w:p>
      <w:pPr>
        <w:ind w:left="360"/>
      </w:pPr>
      <w:r>
        <w:rPr>
          <w:rFonts w:ascii="Arial" w:hAnsi="Arial"/>
          <w:sz w:val="21"/>
        </w:rPr>
        <w:t>•  Politique de gestion de la configuration — configurations de référence et déploiement des correctifs.</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03.14);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03.14.01  Correction des failles</w:t>
            </w:r>
          </w:p>
        </w:tc>
        <w:tc>
          <w:tcPr>
            <w:tcW w:type="dxa" w:w="3360"/>
          </w:tcPr>
          <w:p>
            <w:r/>
            <w:r>
              <w:rPr>
                <w:rFonts w:ascii="Arial" w:hAnsi="Arial"/>
                <w:b w:val="0"/>
                <w:sz w:val="20"/>
              </w:rPr>
              <w:t>PS-1 — délais de correctifs</w:t>
            </w:r>
          </w:p>
        </w:tc>
        <w:tc>
          <w:tcPr>
            <w:tcW w:type="dxa" w:w="3360"/>
          </w:tcPr>
          <w:p>
            <w:r/>
            <w:r>
              <w:rPr>
                <w:rFonts w:ascii="Arial" w:hAnsi="Arial"/>
                <w:b w:val="0"/>
                <w:sz w:val="20"/>
              </w:rPr>
              <w:t>Rapports de conformité aux correctifs</w:t>
            </w:r>
          </w:p>
        </w:tc>
      </w:tr>
      <w:tr>
        <w:tc>
          <w:tcPr>
            <w:tcW w:type="dxa" w:w="3360"/>
          </w:tcPr>
          <w:p>
            <w:r/>
            <w:r>
              <w:rPr>
                <w:rFonts w:ascii="Arial" w:hAnsi="Arial"/>
                <w:b w:val="0"/>
                <w:sz w:val="20"/>
              </w:rPr>
              <w:t>03.14.02  Protection contre le code malveillant</w:t>
            </w:r>
          </w:p>
        </w:tc>
        <w:tc>
          <w:tcPr>
            <w:tcW w:type="dxa" w:w="3360"/>
          </w:tcPr>
          <w:p>
            <w:r/>
            <w:r>
              <w:rPr>
                <w:rFonts w:ascii="Arial" w:hAnsi="Arial"/>
                <w:b w:val="0"/>
                <w:sz w:val="20"/>
              </w:rPr>
              <w:t>PS-2 — EDR/antimaliciel</w:t>
            </w:r>
          </w:p>
        </w:tc>
        <w:tc>
          <w:tcPr>
            <w:tcW w:type="dxa" w:w="3360"/>
          </w:tcPr>
          <w:p>
            <w:r/>
            <w:r>
              <w:rPr>
                <w:rFonts w:ascii="Arial" w:hAnsi="Arial"/>
                <w:b w:val="0"/>
                <w:sz w:val="20"/>
              </w:rPr>
              <w:t>Couverture EDR; état des mises à jour; alertes</w:t>
            </w:r>
          </w:p>
        </w:tc>
      </w:tr>
      <w:tr>
        <w:tc>
          <w:tcPr>
            <w:tcW w:type="dxa" w:w="3360"/>
          </w:tcPr>
          <w:p>
            <w:r/>
            <w:r>
              <w:rPr>
                <w:rFonts w:ascii="Arial" w:hAnsi="Arial"/>
                <w:b w:val="0"/>
                <w:sz w:val="20"/>
              </w:rPr>
              <w:t>03.14.03  Alertes, avis et directives de sécurité</w:t>
            </w:r>
          </w:p>
        </w:tc>
        <w:tc>
          <w:tcPr>
            <w:tcW w:type="dxa" w:w="3360"/>
          </w:tcPr>
          <w:p>
            <w:r/>
            <w:r>
              <w:rPr>
                <w:rFonts w:ascii="Arial" w:hAnsi="Arial"/>
                <w:b w:val="0"/>
                <w:sz w:val="20"/>
              </w:rPr>
              <w:t>PS-3 — surveillance/action sur les avis</w:t>
            </w:r>
          </w:p>
        </w:tc>
        <w:tc>
          <w:tcPr>
            <w:tcW w:type="dxa" w:w="3360"/>
          </w:tcPr>
          <w:p>
            <w:r/>
            <w:r>
              <w:rPr>
                <w:rFonts w:ascii="Arial" w:hAnsi="Arial"/>
                <w:b w:val="0"/>
                <w:sz w:val="20"/>
              </w:rPr>
              <w:t>Registres de suivi des avis</w:t>
            </w:r>
          </w:p>
        </w:tc>
      </w:tr>
      <w:tr>
        <w:tc>
          <w:tcPr>
            <w:tcW w:type="dxa" w:w="3360"/>
          </w:tcPr>
          <w:p>
            <w:r/>
            <w:r>
              <w:rPr>
                <w:rFonts w:ascii="Arial" w:hAnsi="Arial"/>
                <w:b w:val="0"/>
                <w:sz w:val="20"/>
              </w:rPr>
              <w:t>03.14.06  Surveillance des systèmes</w:t>
            </w:r>
          </w:p>
        </w:tc>
        <w:tc>
          <w:tcPr>
            <w:tcW w:type="dxa" w:w="3360"/>
          </w:tcPr>
          <w:p>
            <w:r/>
            <w:r>
              <w:rPr>
                <w:rFonts w:ascii="Arial" w:hAnsi="Arial"/>
                <w:b w:val="0"/>
                <w:sz w:val="20"/>
              </w:rPr>
              <w:t>PS-4, PS-6 — surveillance; vérifications d'intégrité</w:t>
            </w:r>
          </w:p>
        </w:tc>
        <w:tc>
          <w:tcPr>
            <w:tcW w:type="dxa" w:w="3360"/>
          </w:tcPr>
          <w:p>
            <w:r/>
            <w:r>
              <w:rPr>
                <w:rFonts w:ascii="Arial" w:hAnsi="Arial"/>
                <w:b w:val="0"/>
                <w:sz w:val="20"/>
              </w:rPr>
              <w:t>Config de surveillance/alerte; preuves de vérification d'intégrité</w:t>
            </w:r>
          </w:p>
        </w:tc>
      </w:tr>
      <w:tr>
        <w:tc>
          <w:tcPr>
            <w:tcW w:type="dxa" w:w="3360"/>
          </w:tcPr>
          <w:p>
            <w:r/>
            <w:r>
              <w:rPr>
                <w:rFonts w:ascii="Arial" w:hAnsi="Arial"/>
                <w:b w:val="0"/>
                <w:sz w:val="20"/>
              </w:rPr>
              <w:t>03.14.08  Gestion et conservation de l'information</w:t>
            </w:r>
          </w:p>
        </w:tc>
        <w:tc>
          <w:tcPr>
            <w:tcW w:type="dxa" w:w="3360"/>
          </w:tcPr>
          <w:p>
            <w:r/>
            <w:r>
              <w:rPr>
                <w:rFonts w:ascii="Arial" w:hAnsi="Arial"/>
                <w:b w:val="0"/>
                <w:sz w:val="20"/>
              </w:rPr>
              <w:t>PS-5 — gérer et conserver l'information</w:t>
            </w:r>
          </w:p>
        </w:tc>
        <w:tc>
          <w:tcPr>
            <w:tcW w:type="dxa" w:w="3360"/>
          </w:tcPr>
          <w:p>
            <w:r/>
            <w:r>
              <w:rPr>
                <w:rFonts w:ascii="Arial" w:hAnsi="Arial"/>
                <w:b w:val="0"/>
                <w:sz w:val="20"/>
              </w:rPr>
              <w:t>Configuration/registres de conservation</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