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[Organization Name]</w:t>
            </w:r>
          </w:p>
          <w:p>
            <w:r>
              <w:rPr>
                <w:rFonts w:ascii="Arial" w:hAnsi="Arial"/>
                <w:b/>
                <w:color w:val="2E5FA3"/>
                <w:sz w:val="28"/>
              </w:rPr>
              <w:t>System Maintenance Policy</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r>
      <w:tr>
        <w:tc>
          <w:tcPr>
            <w:tcW w:type="dxa" w:w="2520"/>
          </w:tcPr>
          <w:p>
            <w:r/>
            <w:r>
              <w:rPr>
                <w:rFonts w:ascii="Arial" w:hAnsi="Arial"/>
                <w:b w:val="0"/>
                <w:sz w:val="20"/>
              </w:rPr>
              <w:t>Policy Name</w:t>
            </w:r>
          </w:p>
        </w:tc>
        <w:tc>
          <w:tcPr>
            <w:tcW w:type="dxa" w:w="2520"/>
          </w:tcPr>
          <w:p>
            <w:r/>
            <w:r>
              <w:rPr>
                <w:rFonts w:ascii="Arial" w:hAnsi="Arial"/>
                <w:b w:val="0"/>
                <w:sz w:val="20"/>
              </w:rPr>
              <w:t>System Maintenance Policy</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Policy Owner</w:t>
            </w:r>
          </w:p>
        </w:tc>
        <w:tc>
          <w:tcPr>
            <w:tcW w:type="dxa" w:w="2520"/>
          </w:tcPr>
          <w:p>
            <w:r/>
            <w:r>
              <w:rPr>
                <w:rFonts w:ascii="Arial" w:hAnsi="Arial"/>
                <w:b w:val="0"/>
                <w:sz w:val="20"/>
              </w:rPr>
              <w:t>[IT Manager / ISSO]</w:t>
            </w:r>
          </w:p>
        </w:tc>
        <w:tc>
          <w:tcPr>
            <w:tcW w:type="dxa" w:w="2520"/>
          </w:tcPr>
          <w:p>
            <w:r/>
            <w:r>
              <w:rPr>
                <w:rFonts w:ascii="Arial" w:hAnsi="Arial"/>
                <w:b w:val="0"/>
                <w:sz w:val="20"/>
              </w:rPr>
              <w:t>Approved By</w:t>
            </w:r>
          </w:p>
        </w:tc>
        <w:tc>
          <w:tcPr>
            <w:tcW w:type="dxa" w:w="2520"/>
          </w:tcPr>
          <w:p>
            <w:r/>
            <w:r>
              <w:rPr>
                <w:rFonts w:ascii="Arial" w:hAnsi="Arial"/>
                <w:b w:val="0"/>
                <w:sz w:val="20"/>
              </w:rPr>
              <w:t>[CEO / CISO]</w:t>
            </w:r>
          </w:p>
        </w:tc>
      </w:tr>
      <w:tr>
        <w:tc>
          <w:tcPr>
            <w:tcW w:type="dxa" w:w="2520"/>
          </w:tcPr>
          <w:p>
            <w:r/>
            <w:r>
              <w:rPr>
                <w:rFonts w:ascii="Arial" w:hAnsi="Arial"/>
                <w:b w:val="0"/>
                <w:sz w:val="20"/>
              </w:rPr>
              <w:t>Effective Date</w:t>
            </w:r>
          </w:p>
        </w:tc>
        <w:tc>
          <w:tcPr>
            <w:tcW w:type="dxa" w:w="2520"/>
          </w:tcPr>
          <w:p>
            <w:r/>
            <w:r>
              <w:rPr>
                <w:rFonts w:ascii="Arial" w:hAnsi="Arial"/>
                <w:b w:val="0"/>
                <w:sz w:val="20"/>
              </w:rPr>
              <w:t>[YYYY-MM-DD]</w:t>
            </w:r>
          </w:p>
        </w:tc>
        <w:tc>
          <w:tcPr>
            <w:tcW w:type="dxa" w:w="2520"/>
          </w:tcPr>
          <w:p>
            <w:r/>
            <w:r>
              <w:rPr>
                <w:rFonts w:ascii="Arial" w:hAnsi="Arial"/>
                <w:b w:val="0"/>
                <w:sz w:val="20"/>
              </w:rPr>
              <w:t>Last Reviewed</w:t>
            </w:r>
          </w:p>
        </w:tc>
        <w:tc>
          <w:tcPr>
            <w:tcW w:type="dxa" w:w="2520"/>
          </w:tcPr>
          <w:p>
            <w:r/>
            <w:r>
              <w:rPr>
                <w:rFonts w:ascii="Arial" w:hAnsi="Arial"/>
                <w:b w:val="0"/>
                <w:sz w:val="20"/>
              </w:rPr>
              <w:t>[YYYY-MM-DD]</w:t>
            </w:r>
          </w:p>
        </w:tc>
      </w:tr>
      <w:tr>
        <w:tc>
          <w:tcPr>
            <w:tcW w:type="dxa" w:w="2520"/>
          </w:tcPr>
          <w:p>
            <w:r/>
            <w:r>
              <w:rPr>
                <w:rFonts w:ascii="Arial" w:hAnsi="Arial"/>
                <w:b w:val="0"/>
                <w:sz w:val="20"/>
              </w:rPr>
              <w:t>Review Cadence</w:t>
            </w:r>
          </w:p>
        </w:tc>
        <w:tc>
          <w:tcPr>
            <w:tcW w:type="dxa" w:w="2520"/>
          </w:tcPr>
          <w:p>
            <w:r/>
            <w:r>
              <w:rPr>
                <w:rFonts w:ascii="Arial" w:hAnsi="Arial"/>
                <w:b w:val="0"/>
                <w:sz w:val="20"/>
              </w:rPr>
              <w:t>Annual (or upon major change)</w:t>
            </w:r>
          </w:p>
        </w:tc>
        <w:tc>
          <w:tcPr>
            <w:tcW w:type="dxa" w:w="2520"/>
          </w:tcPr>
          <w:p>
            <w:r/>
            <w:r>
              <w:rPr>
                <w:rFonts w:ascii="Arial" w:hAnsi="Arial"/>
                <w:b w:val="0"/>
                <w:sz w:val="20"/>
              </w:rPr>
              <w:t>Classification</w:t>
            </w:r>
          </w:p>
        </w:tc>
        <w:tc>
          <w:tcPr>
            <w:tcW w:type="dxa" w:w="2520"/>
          </w:tcPr>
          <w:p>
            <w:r/>
            <w:r>
              <w:rPr>
                <w:rFonts w:ascii="Arial" w:hAnsi="Arial"/>
                <w:b w:val="0"/>
                <w:sz w:val="20"/>
              </w:rPr>
              <w:t>[CUI / Internal]</w:t>
            </w:r>
          </w:p>
        </w:tc>
      </w:tr>
    </w:tbl>
    <w:p/>
    <w:p>
      <w:pPr>
        <w:spacing w:before="200" w:after="80"/>
      </w:pPr>
      <w:r>
        <w:rPr>
          <w:rFonts w:ascii="Arial" w:hAnsi="Arial"/>
          <w:b/>
          <w:color w:val="2E5FA3"/>
          <w:sz w:val="26"/>
        </w:rPr>
        <w:t>1.  Purpose</w:t>
      </w:r>
    </w:p>
    <w:p>
      <w:r>
        <w:rPr>
          <w:rFonts w:ascii="Arial" w:hAnsi="Arial"/>
          <w:sz w:val="21"/>
        </w:rPr>
        <w:t>This policy establishes how [Organization Name] performs maintenance on systems that process, store, or transmit Controlled Unclassified Information (CUI) in a secure manner, and how it controls maintenance tools, media, personnel, and remote (nonlocal) maintenance sessions. Maintenance activities can introduce malware or expose CUI if uncontrolled. This policy ensures maintenance is authorized, supervised, and does not weaken security.</w:t>
      </w:r>
    </w:p>
    <w:p>
      <w:pPr>
        <w:spacing w:before="200" w:after="80"/>
      </w:pPr>
      <w:r>
        <w:rPr>
          <w:rFonts w:ascii="Arial" w:hAnsi="Arial"/>
          <w:b/>
          <w:color w:val="2E5FA3"/>
          <w:sz w:val="26"/>
        </w:rPr>
        <w:t>2.  Scope</w:t>
      </w:r>
    </w:p>
    <w:p>
      <w:r>
        <w:rPr>
          <w:rFonts w:ascii="Arial" w:hAnsi="Arial"/>
          <w:sz w:val="21"/>
        </w:rPr>
        <w:t>This policy applies to:</w:t>
      </w:r>
    </w:p>
    <w:p>
      <w:pPr>
        <w:ind w:left="360"/>
      </w:pPr>
      <w:r>
        <w:rPr>
          <w:rFonts w:ascii="Arial" w:hAnsi="Arial"/>
          <w:sz w:val="21"/>
        </w:rPr>
        <w:t>•  All scheduled and unscheduled maintenance on in-scope systems and components.</w:t>
      </w:r>
    </w:p>
    <w:p>
      <w:pPr>
        <w:ind w:left="360"/>
      </w:pPr>
      <w:r>
        <w:rPr>
          <w:rFonts w:ascii="Arial" w:hAnsi="Arial"/>
          <w:sz w:val="21"/>
        </w:rPr>
        <w:t>•  All maintenance tools, diagnostic equipment, and media used on in-scope systems.</w:t>
      </w:r>
    </w:p>
    <w:p>
      <w:pPr>
        <w:ind w:left="360"/>
      </w:pPr>
      <w:r>
        <w:rPr>
          <w:rFonts w:ascii="Arial" w:hAnsi="Arial"/>
          <w:sz w:val="21"/>
        </w:rPr>
        <w:t>•  All internal staff, vendors, and third parties who perform maintenance.</w:t>
      </w:r>
    </w:p>
    <w:p>
      <w:r>
        <w:rPr>
          <w:rFonts w:ascii="Arial" w:hAnsi="Arial"/>
          <w:sz w:val="21"/>
        </w:rPr>
        <w:t>Where CUI is involved, the requirements in this policy are mandatory and supersede convenience or operational preferences.</w:t>
      </w:r>
    </w:p>
    <w:p>
      <w:pPr>
        <w:spacing w:before="200" w:after="80"/>
      </w:pPr>
      <w:r>
        <w:rPr>
          <w:rFonts w:ascii="Arial" w:hAnsi="Arial"/>
          <w:b/>
          <w:color w:val="2E5FA3"/>
          <w:sz w:val="26"/>
        </w:rPr>
        <w:t>3.  Definitions</w:t>
      </w:r>
    </w:p>
    <w:p>
      <w:r>
        <w:rPr>
          <w:rFonts w:ascii="Arial" w:hAnsi="Arial"/>
          <w:b/>
          <w:sz w:val="21"/>
        </w:rPr>
        <w:t xml:space="preserve">Maintenance Tool: </w:t>
      </w:r>
      <w:r>
        <w:rPr>
          <w:rFonts w:ascii="Arial" w:hAnsi="Arial"/>
          <w:sz w:val="21"/>
        </w:rPr>
        <w:t>Hardware/software used to diagnose, repair, or service a system.</w:t>
      </w:r>
    </w:p>
    <w:p>
      <w:r>
        <w:rPr>
          <w:rFonts w:ascii="Arial" w:hAnsi="Arial"/>
          <w:b/>
          <w:sz w:val="21"/>
        </w:rPr>
        <w:t xml:space="preserve">Nonlocal Maintenance: </w:t>
      </w:r>
      <w:r>
        <w:rPr>
          <w:rFonts w:ascii="Arial" w:hAnsi="Arial"/>
          <w:sz w:val="21"/>
        </w:rPr>
        <w:t>Maintenance performed over a network from outside the system's physical location.</w:t>
      </w:r>
    </w:p>
    <w:p>
      <w:r>
        <w:rPr>
          <w:rFonts w:ascii="Arial" w:hAnsi="Arial"/>
          <w:b/>
          <w:sz w:val="21"/>
        </w:rPr>
        <w:t xml:space="preserve">Maintenance Personnel: </w:t>
      </w:r>
      <w:r>
        <w:rPr>
          <w:rFonts w:ascii="Arial" w:hAnsi="Arial"/>
          <w:sz w:val="21"/>
        </w:rPr>
        <w:t>Individuals (internal or external) who perform maintenance.</w:t>
      </w:r>
    </w:p>
    <w:p>
      <w:r>
        <w:rPr>
          <w:rFonts w:ascii="Arial" w:hAnsi="Arial"/>
          <w:b/>
          <w:sz w:val="21"/>
        </w:rPr>
        <w:t xml:space="preserve">Sanitization: </w:t>
      </w:r>
      <w:r>
        <w:rPr>
          <w:rFonts w:ascii="Arial" w:hAnsi="Arial"/>
          <w:sz w:val="21"/>
        </w:rPr>
        <w:t>Removing data from equipment or media so it cannot be recovered.</w:t>
      </w:r>
    </w:p>
    <w:p>
      <w:pPr>
        <w:spacing w:before="200" w:after="80"/>
      </w:pPr>
      <w:r>
        <w:rPr>
          <w:rFonts w:ascii="Arial" w:hAnsi="Arial"/>
          <w:b/>
          <w:color w:val="2E5FA3"/>
          <w:sz w:val="26"/>
        </w:rPr>
        <w:t>4.  Roles &amp; Responsibilities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Role</w:t>
            </w:r>
          </w:p>
        </w:tc>
        <w:tc>
          <w:tcPr>
            <w:tcW w:type="dxa" w:w="5040"/>
            <w:shd w:val="clear" w:color="auto" w:fill="1B3A6B"/>
          </w:tcPr>
          <w:p>
            <w:r/>
            <w:r>
              <w:rPr>
                <w:rFonts w:ascii="Arial" w:hAnsi="Arial"/>
                <w:b/>
                <w:color w:val="FFFFFF"/>
                <w:sz w:val="20"/>
              </w:rPr>
              <w:t>Key Responsibilities</w:t>
            </w:r>
          </w:p>
        </w:tc>
      </w:tr>
      <w:tr>
        <w:tc>
          <w:tcPr>
            <w:tcW w:type="dxa" w:w="5040"/>
          </w:tcPr>
          <w:p>
            <w:r/>
            <w:r>
              <w:rPr>
                <w:rFonts w:ascii="Arial" w:hAnsi="Arial"/>
                <w:b w:val="0"/>
                <w:sz w:val="20"/>
              </w:rPr>
              <w:t>[IT Manager / ISSO]</w:t>
            </w:r>
          </w:p>
        </w:tc>
        <w:tc>
          <w:tcPr>
            <w:tcW w:type="dxa" w:w="5040"/>
          </w:tcPr>
          <w:p>
            <w:r/>
            <w:r>
              <w:rPr>
                <w:rFonts w:ascii="Arial" w:hAnsi="Arial"/>
                <w:b w:val="0"/>
                <w:sz w:val="20"/>
              </w:rPr>
              <w:t>Own this policy; authorize maintenance and maintenance personnel; approve nonlocal maintenance methods.</w:t>
            </w:r>
          </w:p>
        </w:tc>
      </w:tr>
      <w:tr>
        <w:tc>
          <w:tcPr>
            <w:tcW w:type="dxa" w:w="5040"/>
          </w:tcPr>
          <w:p>
            <w:r/>
            <w:r>
              <w:rPr>
                <w:rFonts w:ascii="Arial" w:hAnsi="Arial"/>
                <w:b w:val="0"/>
                <w:sz w:val="20"/>
              </w:rPr>
              <w:t>[System Administrator]</w:t>
            </w:r>
          </w:p>
        </w:tc>
        <w:tc>
          <w:tcPr>
            <w:tcW w:type="dxa" w:w="5040"/>
          </w:tcPr>
          <w:p>
            <w:r/>
            <w:r>
              <w:rPr>
                <w:rFonts w:ascii="Arial" w:hAnsi="Arial"/>
                <w:b w:val="0"/>
                <w:sz w:val="20"/>
              </w:rPr>
              <w:t>Schedule and perform maintenance; inspect and control tools/media; supervise vendor maintenance.</w:t>
            </w:r>
          </w:p>
        </w:tc>
      </w:tr>
      <w:tr>
        <w:tc>
          <w:tcPr>
            <w:tcW w:type="dxa" w:w="5040"/>
          </w:tcPr>
          <w:p>
            <w:r/>
            <w:r>
              <w:rPr>
                <w:rFonts w:ascii="Arial" w:hAnsi="Arial"/>
                <w:b w:val="0"/>
                <w:sz w:val="20"/>
              </w:rPr>
              <w:t>Maintenance Personnel / Vendors</w:t>
            </w:r>
          </w:p>
        </w:tc>
        <w:tc>
          <w:tcPr>
            <w:tcW w:type="dxa" w:w="5040"/>
          </w:tcPr>
          <w:p>
            <w:r/>
            <w:r>
              <w:rPr>
                <w:rFonts w:ascii="Arial" w:hAnsi="Arial"/>
                <w:b w:val="0"/>
                <w:sz w:val="20"/>
              </w:rPr>
              <w:t>Perform authorized maintenance under the agreed controls; do not remove CUI without authorization.</w:t>
            </w:r>
          </w:p>
        </w:tc>
      </w:tr>
      <w:tr>
        <w:tc>
          <w:tcPr>
            <w:tcW w:type="dxa" w:w="5040"/>
          </w:tcPr>
          <w:p>
            <w:r/>
            <w:r>
              <w:rPr>
                <w:rFonts w:ascii="Arial" w:hAnsi="Arial"/>
                <w:b w:val="0"/>
                <w:sz w:val="20"/>
              </w:rPr>
              <w:t>All Users</w:t>
            </w:r>
          </w:p>
        </w:tc>
        <w:tc>
          <w:tcPr>
            <w:tcW w:type="dxa" w:w="5040"/>
          </w:tcPr>
          <w:p>
            <w:r/>
            <w:r>
              <w:rPr>
                <w:rFonts w:ascii="Arial" w:hAnsi="Arial"/>
                <w:b w:val="0"/>
                <w:sz w:val="20"/>
              </w:rPr>
              <w:t>Report maintenance needs through the proper channel; do not allow unauthorized servicing.</w:t>
            </w:r>
          </w:p>
        </w:tc>
      </w:tr>
      <w:tr>
        <w:tc>
          <w:tcPr>
            <w:tcW w:type="dxa" w:w="5040"/>
          </w:tcPr>
          <w:p>
            <w:r/>
            <w:r>
              <w:rPr>
                <w:rFonts w:ascii="Arial" w:hAnsi="Arial"/>
                <w:b w:val="0"/>
                <w:sz w:val="20"/>
              </w:rPr>
              <w:t>[Senior Leadership / CISO]</w:t>
            </w:r>
          </w:p>
        </w:tc>
        <w:tc>
          <w:tcPr>
            <w:tcW w:type="dxa" w:w="5040"/>
          </w:tcPr>
          <w:p>
            <w:r/>
            <w:r>
              <w:rPr>
                <w:rFonts w:ascii="Arial" w:hAnsi="Arial"/>
                <w:b w:val="0"/>
                <w:sz w:val="20"/>
              </w:rPr>
              <w:t>Approve this policy; accept residual risk for documented exceptions.</w:t>
            </w:r>
          </w:p>
        </w:tc>
      </w:tr>
    </w:tbl>
    <w:p/>
    <w:p>
      <w:pPr>
        <w:spacing w:before="200" w:after="80"/>
      </w:pPr>
      <w:r>
        <w:rPr>
          <w:rFonts w:ascii="Arial" w:hAnsi="Arial"/>
          <w:b/>
          <w:color w:val="2E5FA3"/>
          <w:sz w:val="26"/>
        </w:rPr>
        <w:t>5.  Policy Statements</w:t>
      </w:r>
    </w:p>
    <w:p>
      <w:r>
        <w:rPr>
          <w:rFonts w:ascii="Arial" w:hAnsi="Arial"/>
          <w:b/>
          <w:color w:val="2E5FA3"/>
          <w:sz w:val="21"/>
        </w:rPr>
        <w:t>PS-1  Authorized Maintenance</w:t>
      </w:r>
    </w:p>
    <w:p>
      <w:r>
        <w:rPr>
          <w:rFonts w:ascii="Arial" w:hAnsi="Arial"/>
          <w:sz w:val="21"/>
        </w:rPr>
        <w:t>Maintenance on in-scope systems must be authorized, scheduled where possible, and recorded. Only authorized personnel may perform maintenance.</w:t>
      </w:r>
    </w:p>
    <w:p>
      <w:r>
        <w:rPr>
          <w:rFonts w:ascii="Arial" w:hAnsi="Arial"/>
          <w:b/>
          <w:color w:val="2E5FA3"/>
          <w:sz w:val="21"/>
        </w:rPr>
        <w:t>PS-2  Control of Maintenance Tools &amp; Media</w:t>
      </w:r>
    </w:p>
    <w:p>
      <w:r>
        <w:rPr>
          <w:rFonts w:ascii="Arial" w:hAnsi="Arial"/>
          <w:sz w:val="21"/>
        </w:rPr>
        <w:t>Tools and media used for maintenance must be inspected and scanned for malicious code before use on in-scope systems, and controlled to prevent unauthorized use.</w:t>
      </w:r>
    </w:p>
    <w:p>
      <w:r>
        <w:rPr>
          <w:rFonts w:ascii="Arial" w:hAnsi="Arial"/>
          <w:b/>
          <w:color w:val="2E5FA3"/>
          <w:sz w:val="21"/>
        </w:rPr>
        <w:t>PS-3  Nonlocal (Remote) Maintenance</w:t>
      </w:r>
    </w:p>
    <w:p>
      <w:r>
        <w:rPr>
          <w:rFonts w:ascii="Arial" w:hAnsi="Arial"/>
          <w:sz w:val="21"/>
        </w:rPr>
        <w:t>Remote maintenance must be authorized, conducted over approved, encrypted, MFA-protected channels, monitored, and terminated when complete. Records of remote maintenance sessions must be kept.</w:t>
      </w:r>
    </w:p>
    <w:p>
      <w:r>
        <w:rPr>
          <w:rFonts w:ascii="Arial" w:hAnsi="Arial"/>
          <w:b/>
          <w:color w:val="2E5FA3"/>
          <w:sz w:val="21"/>
        </w:rPr>
        <w:t>PS-4  Maintenance Personnel</w:t>
      </w:r>
    </w:p>
    <w:p>
      <w:r>
        <w:rPr>
          <w:rFonts w:ascii="Arial" w:hAnsi="Arial"/>
          <w:sz w:val="21"/>
        </w:rPr>
        <w:t>Maintenance personnel must be authorized; uncleared or unescorted personnel must be supervised by authorized staff. External maintenance providers must operate under agreement.</w:t>
      </w:r>
    </w:p>
    <w:p>
      <w:r>
        <w:rPr>
          <w:rFonts w:ascii="Arial" w:hAnsi="Arial"/>
          <w:b/>
          <w:color w:val="2E5FA3"/>
          <w:sz w:val="21"/>
        </w:rPr>
        <w:t>PS-5  Media &amp; Equipment Sanitization</w:t>
      </w:r>
    </w:p>
    <w:p>
      <w:r>
        <w:rPr>
          <w:rFonts w:ascii="Arial" w:hAnsi="Arial"/>
          <w:sz w:val="21"/>
        </w:rPr>
        <w:t>Equipment or media leaving the organization for off-site maintenance, disposal, or reuse must have CUI removed or be sanitized in accordance with the Media Protection Policy.</w:t>
      </w:r>
    </w:p>
    <w:p>
      <w:r>
        <w:rPr>
          <w:rFonts w:ascii="Arial" w:hAnsi="Arial"/>
          <w:b/>
          <w:color w:val="2E5FA3"/>
          <w:sz w:val="21"/>
        </w:rPr>
        <w:t>PS-6  Supervision &amp; Verification</w:t>
      </w:r>
    </w:p>
    <w:p>
      <w:r>
        <w:rPr>
          <w:rFonts w:ascii="Arial" w:hAnsi="Arial"/>
          <w:sz w:val="21"/>
        </w:rPr>
        <w:t>Maintenance activities affecting security functions must be verified afterward to confirm the system's security state is intact.</w:t>
      </w:r>
    </w:p>
    <w:p>
      <w:pPr>
        <w:spacing w:before="200" w:after="80"/>
      </w:pPr>
      <w:r>
        <w:rPr>
          <w:rFonts w:ascii="Arial" w:hAnsi="Arial"/>
          <w:b/>
          <w:color w:val="2E5FA3"/>
          <w:sz w:val="26"/>
        </w:rPr>
        <w:t>6.  Procedures &amp; Audit Evidence</w:t>
      </w:r>
    </w:p>
    <w:p>
      <w:r>
        <w:rPr>
          <w:rFonts w:ascii="Arial" w:hAnsi="Arial"/>
          <w:sz w:val="21"/>
        </w:rPr>
        <w:t>6.1  Performing Maintenance</w:t>
      </w:r>
    </w:p>
    <w:p>
      <w:pPr>
        <w:ind w:left="360"/>
      </w:pPr>
      <w:r>
        <w:rPr>
          <w:rFonts w:ascii="Arial" w:hAnsi="Arial"/>
          <w:sz w:val="21"/>
        </w:rPr>
        <w:t>•  Authorize and schedule maintenance; inspect/scan tools and media before use.</w:t>
      </w:r>
    </w:p>
    <w:p>
      <w:pPr>
        <w:ind w:left="360"/>
      </w:pPr>
      <w:r>
        <w:rPr>
          <w:rFonts w:ascii="Arial" w:hAnsi="Arial"/>
          <w:sz w:val="21"/>
        </w:rPr>
        <w:t>•  Record what was done, by whom, and when.</w:t>
      </w:r>
    </w:p>
    <w:p>
      <w:r>
        <w:rPr>
          <w:rFonts w:ascii="Arial" w:hAnsi="Arial"/>
          <w:b/>
          <w:sz w:val="21"/>
        </w:rPr>
        <w:t xml:space="preserve">Audit evidence: </w:t>
      </w:r>
      <w:r>
        <w:rPr>
          <w:rFonts w:ascii="Arial" w:hAnsi="Arial"/>
          <w:sz w:val="21"/>
        </w:rPr>
        <w:t>Maintenance authorizations and logs; tool/media scan records.</w:t>
      </w:r>
    </w:p>
    <w:p>
      <w:r>
        <w:rPr>
          <w:rFonts w:ascii="Arial" w:hAnsi="Arial"/>
          <w:sz w:val="21"/>
        </w:rPr>
        <w:t>6.2  Remote Maintenance</w:t>
      </w:r>
    </w:p>
    <w:p>
      <w:pPr>
        <w:ind w:left="360"/>
      </w:pPr>
      <w:r>
        <w:rPr>
          <w:rFonts w:ascii="Arial" w:hAnsi="Arial"/>
          <w:sz w:val="21"/>
        </w:rPr>
        <w:t>•  Authorize nonlocal maintenance; connect over an approved, encrypted, MFA-protected channel; monitor and terminate.</w:t>
      </w:r>
    </w:p>
    <w:p>
      <w:pPr>
        <w:ind w:left="360"/>
      </w:pPr>
      <w:r>
        <w:rPr>
          <w:rFonts w:ascii="Arial" w:hAnsi="Arial"/>
          <w:sz w:val="21"/>
        </w:rPr>
        <w:t>•  Sanitize equipment/media before off-site service or disposal.</w:t>
      </w:r>
    </w:p>
    <w:p>
      <w:r>
        <w:rPr>
          <w:rFonts w:ascii="Arial" w:hAnsi="Arial"/>
          <w:b/>
          <w:sz w:val="21"/>
        </w:rPr>
        <w:t xml:space="preserve">Audit evidence: </w:t>
      </w:r>
      <w:r>
        <w:rPr>
          <w:rFonts w:ascii="Arial" w:hAnsi="Arial"/>
          <w:sz w:val="21"/>
        </w:rPr>
        <w:t>Remote-session authorizations and logs; sanitization records.</w:t>
      </w:r>
    </w:p>
    <w:p>
      <w:pPr>
        <w:spacing w:before="200" w:after="80"/>
      </w:pPr>
      <w:r>
        <w:rPr>
          <w:rFonts w:ascii="Arial" w:hAnsi="Arial"/>
          <w:b/>
          <w:color w:val="2E5FA3"/>
          <w:sz w:val="26"/>
        </w:rPr>
        <w:t>7.  Compliance, Monitoring &amp; Enforcement</w:t>
      </w:r>
    </w:p>
    <w:p>
      <w:r>
        <w:rPr>
          <w:rFonts w:ascii="Arial" w:hAnsi="Arial"/>
          <w:sz w:val="21"/>
        </w:rPr>
        <w:t>The [IT Manager / ISSO] shall review compliance with this policy at least [quarterly] by verifying maintenance is authorized and logged, tools/media are scanned, remote maintenance is controlled, and equipment is sanitized before leaving the organization. Results shall be reported to [Senior Leadership / CISO].</w:t>
      </w:r>
    </w:p>
    <w:p>
      <w:r>
        <w:rPr>
          <w:rFonts w:ascii="Arial" w:hAnsi="Arial"/>
          <w:sz w:val="21"/>
        </w:rPr>
        <w:t>Violations may result in:</w:t>
      </w:r>
    </w:p>
    <w:p>
      <w:pPr>
        <w:ind w:left="360"/>
      </w:pPr>
      <w:r>
        <w:rPr>
          <w:rFonts w:ascii="Arial" w:hAnsi="Arial"/>
          <w:sz w:val="21"/>
        </w:rPr>
        <w:t>•  Remediation of the deficiency within a timeframe set by the policy owner based on risk.</w:t>
      </w:r>
    </w:p>
    <w:p>
      <w:pPr>
        <w:ind w:left="360"/>
      </w:pPr>
      <w:r>
        <w:rPr>
          <w:rFonts w:ascii="Arial" w:hAnsi="Arial"/>
          <w:sz w:val="21"/>
        </w:rPr>
        <w:t>•  Disciplinary action up to and including termination of employment or contract, consistent with [Organization Name]'s disciplinary procedures.</w:t>
      </w:r>
    </w:p>
    <w:p>
      <w:pPr>
        <w:ind w:left="360"/>
      </w:pPr>
      <w:r>
        <w:rPr>
          <w:rFonts w:ascii="Arial" w:hAnsi="Arial"/>
          <w:sz w:val="21"/>
        </w:rPr>
        <w:t>•  Referral to law enforcement and notification to government contracting officers where CUI or criminal activity is involved, as required by the applicable contract or regulation.</w:t>
      </w:r>
    </w:p>
    <w:p>
      <w:pPr>
        <w:spacing w:before="200" w:after="80"/>
      </w:pPr>
      <w:r>
        <w:rPr>
          <w:rFonts w:ascii="Arial" w:hAnsi="Arial"/>
          <w:b/>
          <w:color w:val="2E5FA3"/>
          <w:sz w:val="26"/>
        </w:rPr>
        <w:t>8.  Exceptions</w:t>
      </w:r>
    </w:p>
    <w:p>
      <w:r>
        <w:rPr>
          <w:rFonts w:ascii="Arial" w:hAnsi="Arial"/>
          <w:sz w:val="21"/>
        </w:rPr>
        <w:t>Exceptions to this policy must be rare. To request one:</w:t>
      </w:r>
    </w:p>
    <w:p>
      <w:pPr>
        <w:ind w:left="360"/>
      </w:pPr>
      <w:r>
        <w:rPr>
          <w:rFonts w:ascii="Arial" w:hAnsi="Arial"/>
          <w:sz w:val="21"/>
        </w:rPr>
        <w:t>•  The requester submits a written exception to the policy owner describing the requirement that cannot be met, the business justification, the risk introduced, and proposed compensating controls.</w:t>
      </w:r>
    </w:p>
    <w:p>
      <w:pPr>
        <w:ind w:left="360"/>
      </w:pPr>
      <w:r>
        <w:rPr>
          <w:rFonts w:ascii="Arial" w:hAnsi="Arial"/>
          <w:sz w:val="21"/>
        </w:rPr>
        <w:t>•  The policy owner assesses the risk and prepares a recommendation; [Senior Leadership / CISO] approves or denies the exception in writing.</w:t>
      </w:r>
    </w:p>
    <w:p>
      <w:pPr>
        <w:ind w:left="360"/>
      </w:pPr>
      <w:r>
        <w:rPr>
          <w:rFonts w:ascii="Arial" w:hAnsi="Arial"/>
          <w:sz w:val="21"/>
        </w:rPr>
        <w:t>•  Approved exceptions are logged in the Exception Register with an expiry of no more than [organization-defined: 12 months; recommended: 12 months], reviewed upon expiry, and reflected as a plan of action and milestones (POA&amp;M) item in the SSP where CUI systems are affected.</w:t>
      </w:r>
    </w:p>
    <w:p>
      <w:pPr>
        <w:spacing w:before="200" w:after="80"/>
      </w:pPr>
      <w:r>
        <w:rPr>
          <w:rFonts w:ascii="Arial" w:hAnsi="Arial"/>
          <w:b/>
          <w:color w:val="2E5FA3"/>
          <w:sz w:val="26"/>
        </w:rPr>
        <w:t>9.  Related Documents</w:t>
      </w:r>
    </w:p>
    <w:p>
      <w:pPr>
        <w:ind w:left="360"/>
      </w:pPr>
      <w:r>
        <w:rPr>
          <w:rFonts w:ascii="Arial" w:hAnsi="Arial"/>
          <w:sz w:val="21"/>
        </w:rPr>
        <w:t>•  Media Protection Policy — sanitization of media and equipment.</w:t>
      </w:r>
    </w:p>
    <w:p>
      <w:pPr>
        <w:ind w:left="360"/>
      </w:pPr>
      <w:r>
        <w:rPr>
          <w:rFonts w:ascii="Arial" w:hAnsi="Arial"/>
          <w:sz w:val="21"/>
        </w:rPr>
        <w:t>•  Access Control Policy — remote access and MFA for nonlocal maintenance.</w:t>
      </w:r>
    </w:p>
    <w:p>
      <w:pPr>
        <w:ind w:left="360"/>
      </w:pPr>
      <w:r>
        <w:rPr>
          <w:rFonts w:ascii="Arial" w:hAnsi="Arial"/>
          <w:sz w:val="21"/>
        </w:rPr>
        <w:t>•  Configuration Management Policy — verifying configuration after maintenance.</w:t>
      </w:r>
    </w:p>
    <w:p>
      <w:pPr>
        <w:ind w:left="360"/>
      </w:pPr>
      <w:r>
        <w:rPr>
          <w:rFonts w:ascii="Arial" w:hAnsi="Arial"/>
          <w:sz w:val="21"/>
        </w:rPr>
        <w:t>•  System Security Plan (SSP) — in-scope systems and maintenance arrangements.</w:t>
      </w:r>
    </w:p>
    <w:p>
      <w:pPr>
        <w:spacing w:before="200" w:after="80"/>
      </w:pPr>
      <w:r>
        <w:rPr>
          <w:rFonts w:ascii="Arial" w:hAnsi="Arial"/>
          <w:b/>
          <w:color w:val="2E5FA3"/>
          <w:sz w:val="26"/>
        </w:rPr>
        <w:t>10.  Control Mapping</w:t>
      </w:r>
    </w:p>
    <w:p>
      <w:r>
        <w:rPr>
          <w:rFonts w:ascii="Arial" w:hAnsi="Arial"/>
          <w:sz w:val="21"/>
        </w:rPr>
        <w:t>The table below maps each required control to the policy statement(s) that satisfy it and the evidence an auditor will seek. Control IDs are from NIST SP 800-171 Rev 3 (family 03.07); they are equally applicable to CMMC 2.0 Level 2 and 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Control ID</w:t>
            </w:r>
          </w:p>
        </w:tc>
        <w:tc>
          <w:tcPr>
            <w:tcW w:type="dxa" w:w="3360"/>
            <w:shd w:val="clear" w:color="auto" w:fill="1B3A6B"/>
          </w:tcPr>
          <w:p>
            <w:r/>
            <w:r>
              <w:rPr>
                <w:rFonts w:ascii="Arial" w:hAnsi="Arial"/>
                <w:b/>
                <w:color w:val="FFFFFF"/>
                <w:sz w:val="20"/>
              </w:rPr>
              <w:t>Policy Statement(s)</w:t>
            </w:r>
          </w:p>
        </w:tc>
        <w:tc>
          <w:tcPr>
            <w:tcW w:type="dxa" w:w="3360"/>
            <w:shd w:val="clear" w:color="auto" w:fill="1B3A6B"/>
          </w:tcPr>
          <w:p>
            <w:r/>
            <w:r>
              <w:rPr>
                <w:rFonts w:ascii="Arial" w:hAnsi="Arial"/>
                <w:b/>
                <w:color w:val="FFFFFF"/>
                <w:sz w:val="20"/>
              </w:rPr>
              <w:t>Expected Audit Evidence</w:t>
            </w:r>
          </w:p>
        </w:tc>
      </w:tr>
      <w:tr>
        <w:tc>
          <w:tcPr>
            <w:tcW w:type="dxa" w:w="3360"/>
          </w:tcPr>
          <w:p>
            <w:r/>
            <w:r>
              <w:rPr>
                <w:rFonts w:ascii="Arial" w:hAnsi="Arial"/>
                <w:b w:val="0"/>
                <w:sz w:val="20"/>
              </w:rPr>
              <w:t>03.07.04  Maintenance Tools</w:t>
            </w:r>
          </w:p>
        </w:tc>
        <w:tc>
          <w:tcPr>
            <w:tcW w:type="dxa" w:w="3360"/>
          </w:tcPr>
          <w:p>
            <w:r/>
            <w:r>
              <w:rPr>
                <w:rFonts w:ascii="Arial" w:hAnsi="Arial"/>
                <w:b w:val="0"/>
                <w:sz w:val="20"/>
              </w:rPr>
              <w:t>PS-2 — control and scan tools/media</w:t>
            </w:r>
          </w:p>
        </w:tc>
        <w:tc>
          <w:tcPr>
            <w:tcW w:type="dxa" w:w="3360"/>
          </w:tcPr>
          <w:p>
            <w:r/>
            <w:r>
              <w:rPr>
                <w:rFonts w:ascii="Arial" w:hAnsi="Arial"/>
                <w:b w:val="0"/>
                <w:sz w:val="20"/>
              </w:rPr>
              <w:t>Tool/media inspection and scan records</w:t>
            </w:r>
          </w:p>
        </w:tc>
      </w:tr>
      <w:tr>
        <w:tc>
          <w:tcPr>
            <w:tcW w:type="dxa" w:w="3360"/>
          </w:tcPr>
          <w:p>
            <w:r/>
            <w:r>
              <w:rPr>
                <w:rFonts w:ascii="Arial" w:hAnsi="Arial"/>
                <w:b w:val="0"/>
                <w:sz w:val="20"/>
              </w:rPr>
              <w:t>03.07.05  Nonlocal Maintenance</w:t>
            </w:r>
          </w:p>
        </w:tc>
        <w:tc>
          <w:tcPr>
            <w:tcW w:type="dxa" w:w="3360"/>
          </w:tcPr>
          <w:p>
            <w:r/>
            <w:r>
              <w:rPr>
                <w:rFonts w:ascii="Arial" w:hAnsi="Arial"/>
                <w:b w:val="0"/>
                <w:sz w:val="20"/>
              </w:rPr>
              <w:t>PS-3 — controlled remote maintenance</w:t>
            </w:r>
          </w:p>
        </w:tc>
        <w:tc>
          <w:tcPr>
            <w:tcW w:type="dxa" w:w="3360"/>
          </w:tcPr>
          <w:p>
            <w:r/>
            <w:r>
              <w:rPr>
                <w:rFonts w:ascii="Arial" w:hAnsi="Arial"/>
                <w:b w:val="0"/>
                <w:sz w:val="20"/>
              </w:rPr>
              <w:t>Remote-session authorizations and logs</w:t>
            </w:r>
          </w:p>
        </w:tc>
      </w:tr>
      <w:tr>
        <w:tc>
          <w:tcPr>
            <w:tcW w:type="dxa" w:w="3360"/>
          </w:tcPr>
          <w:p>
            <w:r/>
            <w:r>
              <w:rPr>
                <w:rFonts w:ascii="Arial" w:hAnsi="Arial"/>
                <w:b w:val="0"/>
                <w:sz w:val="20"/>
              </w:rPr>
              <w:t>03.07.06  Maintenance Personnel</w:t>
            </w:r>
          </w:p>
        </w:tc>
        <w:tc>
          <w:tcPr>
            <w:tcW w:type="dxa" w:w="3360"/>
          </w:tcPr>
          <w:p>
            <w:r/>
            <w:r>
              <w:rPr>
                <w:rFonts w:ascii="Arial" w:hAnsi="Arial"/>
                <w:b w:val="0"/>
                <w:sz w:val="20"/>
              </w:rPr>
              <w:t>PS-4 — authorized/supervised personnel</w:t>
            </w:r>
          </w:p>
        </w:tc>
        <w:tc>
          <w:tcPr>
            <w:tcW w:type="dxa" w:w="3360"/>
          </w:tcPr>
          <w:p>
            <w:r/>
            <w:r>
              <w:rPr>
                <w:rFonts w:ascii="Arial" w:hAnsi="Arial"/>
                <w:b w:val="0"/>
                <w:sz w:val="20"/>
              </w:rPr>
              <w:t>Maintenance authorizations; vendor agreements</w:t>
            </w:r>
          </w:p>
        </w:tc>
      </w:tr>
    </w:tbl>
    <w:p/>
    <w:p>
      <w:pPr>
        <w:spacing w:before="200" w:after="80"/>
      </w:pPr>
      <w:r>
        <w:rPr>
          <w:rFonts w:ascii="Arial" w:hAnsi="Arial"/>
          <w:b/>
          <w:color w:val="2E5FA3"/>
          <w:sz w:val="26"/>
        </w:rPr>
        <w:t>11.  Revision History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Author / Role</w:t>
            </w:r>
          </w:p>
        </w:tc>
        <w:tc>
          <w:tcPr>
            <w:tcW w:type="dxa" w:w="2520"/>
            <w:shd w:val="clear" w:color="auto" w:fill="1B3A6B"/>
          </w:tcPr>
          <w:p>
            <w:r/>
            <w:r>
              <w:rPr>
                <w:rFonts w:ascii="Arial" w:hAnsi="Arial"/>
                <w:b/>
                <w:color w:val="FFFFFF"/>
                <w:sz w:val="20"/>
              </w:rPr>
              <w:t>Summary of Changes</w:t>
            </w:r>
          </w:p>
        </w:tc>
      </w:tr>
      <w:tr>
        <w:tc>
          <w:tcPr>
            <w:tcW w:type="dxa" w:w="2520"/>
          </w:tcPr>
          <w:p>
            <w:r/>
            <w:r>
              <w:rPr>
                <w:rFonts w:ascii="Arial" w:hAnsi="Arial"/>
                <w:b w:val="0"/>
                <w:sz w:val="20"/>
              </w:rPr>
              <w:t>1.0</w:t>
            </w:r>
          </w:p>
        </w:tc>
        <w:tc>
          <w:tcPr>
            <w:tcW w:type="dxa" w:w="2520"/>
          </w:tcPr>
          <w:p>
            <w:r/>
            <w:r>
              <w:rPr>
                <w:rFonts w:ascii="Arial" w:hAnsi="Arial"/>
                <w:b w:val="0"/>
                <w:sz w:val="20"/>
              </w:rPr>
              <w:t>[YYYY-MM-DD]</w:t>
            </w:r>
          </w:p>
        </w:tc>
        <w:tc>
          <w:tcPr>
            <w:tcW w:type="dxa" w:w="2520"/>
          </w:tcPr>
          <w:p>
            <w:r/>
            <w:r>
              <w:rPr>
                <w:rFonts w:ascii="Arial" w:hAnsi="Arial"/>
                <w:b w:val="0"/>
                <w:sz w:val="20"/>
              </w:rPr>
              <w:t>[IT Manager / ISSO]</w:t>
            </w:r>
          </w:p>
        </w:tc>
        <w:tc>
          <w:tcPr>
            <w:tcW w:type="dxa" w:w="2520"/>
          </w:tcPr>
          <w:p>
            <w:r/>
            <w:r>
              <w:rPr>
                <w:rFonts w:ascii="Arial" w:hAnsi="Arial"/>
                <w:b w:val="0"/>
                <w:sz w:val="20"/>
              </w:rPr>
              <w:t>Initial policy release.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