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040"/>
        <w:gridCol w:w="5040"/>
      </w:tblGrid>
      <w:tr>
        <w:tc>
          <w:tcPr>
            <w:tcW w:type="dxa" w:w="5040"/>
          </w:tcPr>
          <w:p>
            <w:r/>
            <w:r>
              <w:rPr>
                <w:rFonts w:ascii="Arial" w:hAnsi="Arial"/>
                <w:b w:val="0"/>
                <w:sz w:val="20"/>
              </w:rPr>
              <w:t>[INSERT ORGANIZATION LOGO]</w:t>
            </w:r>
          </w:p>
        </w:tc>
        <w:tc>
          <w:tcPr>
            <w:tcW w:type="dxa" w:w="5040"/>
          </w:tcPr>
          <w:p>
            <w:r/>
            <w:r>
              <w:rPr>
                <w:rFonts w:ascii="Arial" w:hAnsi="Arial"/>
                <w:b/>
                <w:sz w:val="24"/>
              </w:rPr>
              <w:t>[Organization Name]</w:t>
            </w:r>
          </w:p>
          <w:p>
            <w:r>
              <w:rPr>
                <w:rFonts w:ascii="Arial" w:hAnsi="Arial"/>
                <w:b/>
                <w:color w:val="2E5FA3"/>
                <w:sz w:val="28"/>
              </w:rPr>
              <w:t>System &amp; Services Acquisition Policy</w:t>
            </w:r>
          </w:p>
        </w:tc>
      </w:tr>
    </w:tbl>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20"/>
        <w:gridCol w:w="2520"/>
        <w:gridCol w:w="2520"/>
        <w:gridCol w:w="2520"/>
      </w:tblGrid>
      <w:tr>
        <w:tc>
          <w:tcPr>
            <w:tcW w:type="dxa" w:w="2520"/>
            <w:shd w:val="clear" w:color="auto" w:fill="1B3A6B"/>
          </w:tcPr>
          <w:p>
            <w:r/>
            <w:r>
              <w:rPr>
                <w:rFonts w:ascii="Arial" w:hAnsi="Arial"/>
                <w:b/>
                <w:color w:val="FFFFFF"/>
                <w:sz w:val="20"/>
              </w:rPr>
              <w:t>Field</w:t>
            </w:r>
          </w:p>
        </w:tc>
        <w:tc>
          <w:tcPr>
            <w:tcW w:type="dxa" w:w="2520"/>
            <w:shd w:val="clear" w:color="auto" w:fill="1B3A6B"/>
          </w:tcPr>
          <w:p>
            <w:r/>
            <w:r>
              <w:rPr>
                <w:rFonts w:ascii="Arial" w:hAnsi="Arial"/>
                <w:b/>
                <w:color w:val="FFFFFF"/>
                <w:sz w:val="20"/>
              </w:rPr>
              <w:t>Value</w:t>
            </w:r>
          </w:p>
        </w:tc>
        <w:tc>
          <w:tcPr>
            <w:tcW w:type="dxa" w:w="2520"/>
            <w:shd w:val="clear" w:color="auto" w:fill="1B3A6B"/>
          </w:tcPr>
          <w:p>
            <w:r/>
            <w:r>
              <w:rPr>
                <w:rFonts w:ascii="Arial" w:hAnsi="Arial"/>
                <w:b/>
                <w:color w:val="FFFFFF"/>
                <w:sz w:val="20"/>
              </w:rPr>
              <w:t>Field</w:t>
            </w:r>
          </w:p>
        </w:tc>
        <w:tc>
          <w:tcPr>
            <w:tcW w:type="dxa" w:w="2520"/>
            <w:shd w:val="clear" w:color="auto" w:fill="1B3A6B"/>
          </w:tcPr>
          <w:p>
            <w:r/>
            <w:r>
              <w:rPr>
                <w:rFonts w:ascii="Arial" w:hAnsi="Arial"/>
                <w:b/>
                <w:color w:val="FFFFFF"/>
                <w:sz w:val="20"/>
              </w:rPr>
              <w:t>Value</w:t>
            </w:r>
          </w:p>
        </w:tc>
      </w:tr>
      <w:tr>
        <w:tc>
          <w:tcPr>
            <w:tcW w:type="dxa" w:w="2520"/>
          </w:tcPr>
          <w:p>
            <w:r/>
            <w:r>
              <w:rPr>
                <w:rFonts w:ascii="Arial" w:hAnsi="Arial"/>
                <w:b w:val="0"/>
                <w:sz w:val="20"/>
              </w:rPr>
              <w:t>Policy Name</w:t>
            </w:r>
          </w:p>
        </w:tc>
        <w:tc>
          <w:tcPr>
            <w:tcW w:type="dxa" w:w="2520"/>
          </w:tcPr>
          <w:p>
            <w:r/>
            <w:r>
              <w:rPr>
                <w:rFonts w:ascii="Arial" w:hAnsi="Arial"/>
                <w:b w:val="0"/>
                <w:sz w:val="20"/>
              </w:rPr>
              <w:t>System &amp; Services Acquisition Policy</w:t>
            </w:r>
          </w:p>
        </w:tc>
        <w:tc>
          <w:tcPr>
            <w:tcW w:type="dxa" w:w="2520"/>
          </w:tcPr>
          <w:p>
            <w:r/>
            <w:r>
              <w:rPr>
                <w:rFonts w:ascii="Arial" w:hAnsi="Arial"/>
                <w:b w:val="0"/>
                <w:sz w:val="20"/>
              </w:rPr>
              <w:t>Version</w:t>
            </w:r>
          </w:p>
        </w:tc>
        <w:tc>
          <w:tcPr>
            <w:tcW w:type="dxa" w:w="2520"/>
          </w:tcPr>
          <w:p>
            <w:r/>
            <w:r>
              <w:rPr>
                <w:rFonts w:ascii="Arial" w:hAnsi="Arial"/>
                <w:b w:val="0"/>
                <w:sz w:val="20"/>
              </w:rPr>
              <w:t>[1.0]</w:t>
            </w:r>
          </w:p>
        </w:tc>
      </w:tr>
      <w:tr>
        <w:tc>
          <w:tcPr>
            <w:tcW w:type="dxa" w:w="2520"/>
          </w:tcPr>
          <w:p>
            <w:r/>
            <w:r>
              <w:rPr>
                <w:rFonts w:ascii="Arial" w:hAnsi="Arial"/>
                <w:b w:val="0"/>
                <w:sz w:val="20"/>
              </w:rPr>
              <w:t>Policy Owner</w:t>
            </w:r>
          </w:p>
        </w:tc>
        <w:tc>
          <w:tcPr>
            <w:tcW w:type="dxa" w:w="2520"/>
          </w:tcPr>
          <w:p>
            <w:r/>
            <w:r>
              <w:rPr>
                <w:rFonts w:ascii="Arial" w:hAnsi="Arial"/>
                <w:b w:val="0"/>
                <w:sz w:val="20"/>
              </w:rPr>
              <w:t>[IT Manager / ISSO]</w:t>
            </w:r>
          </w:p>
        </w:tc>
        <w:tc>
          <w:tcPr>
            <w:tcW w:type="dxa" w:w="2520"/>
          </w:tcPr>
          <w:p>
            <w:r/>
            <w:r>
              <w:rPr>
                <w:rFonts w:ascii="Arial" w:hAnsi="Arial"/>
                <w:b w:val="0"/>
                <w:sz w:val="20"/>
              </w:rPr>
              <w:t>Approved By</w:t>
            </w:r>
          </w:p>
        </w:tc>
        <w:tc>
          <w:tcPr>
            <w:tcW w:type="dxa" w:w="2520"/>
          </w:tcPr>
          <w:p>
            <w:r/>
            <w:r>
              <w:rPr>
                <w:rFonts w:ascii="Arial" w:hAnsi="Arial"/>
                <w:b w:val="0"/>
                <w:sz w:val="20"/>
              </w:rPr>
              <w:t>[CEO / CISO]</w:t>
            </w:r>
          </w:p>
        </w:tc>
      </w:tr>
      <w:tr>
        <w:tc>
          <w:tcPr>
            <w:tcW w:type="dxa" w:w="2520"/>
          </w:tcPr>
          <w:p>
            <w:r/>
            <w:r>
              <w:rPr>
                <w:rFonts w:ascii="Arial" w:hAnsi="Arial"/>
                <w:b w:val="0"/>
                <w:sz w:val="20"/>
              </w:rPr>
              <w:t>Effective Date</w:t>
            </w:r>
          </w:p>
        </w:tc>
        <w:tc>
          <w:tcPr>
            <w:tcW w:type="dxa" w:w="2520"/>
          </w:tcPr>
          <w:p>
            <w:r/>
            <w:r>
              <w:rPr>
                <w:rFonts w:ascii="Arial" w:hAnsi="Arial"/>
                <w:b w:val="0"/>
                <w:sz w:val="20"/>
              </w:rPr>
              <w:t>[YYYY-MM-DD]</w:t>
            </w:r>
          </w:p>
        </w:tc>
        <w:tc>
          <w:tcPr>
            <w:tcW w:type="dxa" w:w="2520"/>
          </w:tcPr>
          <w:p>
            <w:r/>
            <w:r>
              <w:rPr>
                <w:rFonts w:ascii="Arial" w:hAnsi="Arial"/>
                <w:b w:val="0"/>
                <w:sz w:val="20"/>
              </w:rPr>
              <w:t>Last Reviewed</w:t>
            </w:r>
          </w:p>
        </w:tc>
        <w:tc>
          <w:tcPr>
            <w:tcW w:type="dxa" w:w="2520"/>
          </w:tcPr>
          <w:p>
            <w:r/>
            <w:r>
              <w:rPr>
                <w:rFonts w:ascii="Arial" w:hAnsi="Arial"/>
                <w:b w:val="0"/>
                <w:sz w:val="20"/>
              </w:rPr>
              <w:t>[YYYY-MM-DD]</w:t>
            </w:r>
          </w:p>
        </w:tc>
      </w:tr>
      <w:tr>
        <w:tc>
          <w:tcPr>
            <w:tcW w:type="dxa" w:w="2520"/>
          </w:tcPr>
          <w:p>
            <w:r/>
            <w:r>
              <w:rPr>
                <w:rFonts w:ascii="Arial" w:hAnsi="Arial"/>
                <w:b w:val="0"/>
                <w:sz w:val="20"/>
              </w:rPr>
              <w:t>Review Cadence</w:t>
            </w:r>
          </w:p>
        </w:tc>
        <w:tc>
          <w:tcPr>
            <w:tcW w:type="dxa" w:w="2520"/>
          </w:tcPr>
          <w:p>
            <w:r/>
            <w:r>
              <w:rPr>
                <w:rFonts w:ascii="Arial" w:hAnsi="Arial"/>
                <w:b w:val="0"/>
                <w:sz w:val="20"/>
              </w:rPr>
              <w:t>Annual (or upon major change)</w:t>
            </w:r>
          </w:p>
        </w:tc>
        <w:tc>
          <w:tcPr>
            <w:tcW w:type="dxa" w:w="2520"/>
          </w:tcPr>
          <w:p>
            <w:r/>
            <w:r>
              <w:rPr>
                <w:rFonts w:ascii="Arial" w:hAnsi="Arial"/>
                <w:b w:val="0"/>
                <w:sz w:val="20"/>
              </w:rPr>
              <w:t>Classification</w:t>
            </w:r>
          </w:p>
        </w:tc>
        <w:tc>
          <w:tcPr>
            <w:tcW w:type="dxa" w:w="2520"/>
          </w:tcPr>
          <w:p>
            <w:r/>
            <w:r>
              <w:rPr>
                <w:rFonts w:ascii="Arial" w:hAnsi="Arial"/>
                <w:b w:val="0"/>
                <w:sz w:val="20"/>
              </w:rPr>
              <w:t>[CUI / Internal]</w:t>
            </w:r>
          </w:p>
        </w:tc>
      </w:tr>
    </w:tbl>
    <w:p/>
    <w:p>
      <w:pPr>
        <w:spacing w:before="200" w:after="80"/>
      </w:pPr>
      <w:r>
        <w:rPr>
          <w:rFonts w:ascii="Arial" w:hAnsi="Arial"/>
          <w:b/>
          <w:color w:val="2E5FA3"/>
          <w:sz w:val="26"/>
        </w:rPr>
        <w:t>1.  Purpose</w:t>
      </w:r>
    </w:p>
    <w:p>
      <w:r>
        <w:rPr>
          <w:rFonts w:ascii="Arial" w:hAnsi="Arial"/>
          <w:sz w:val="21"/>
        </w:rPr>
        <w:t>This policy establishes how [Organization Name] builds security into the acquisition and development of systems, components, and services that will process, store, or transmit Controlled Unclassified Information (CUI). Security requirements defined before acquisition are far cheaper and more effective than retrofits. This policy ensures security engineering principles are applied, unsupported components are avoided, and external service providers meet CUI requirements.</w:t>
      </w:r>
    </w:p>
    <w:p>
      <w:pPr>
        <w:spacing w:before="200" w:after="80"/>
      </w:pPr>
      <w:r>
        <w:rPr>
          <w:rFonts w:ascii="Arial" w:hAnsi="Arial"/>
          <w:b/>
          <w:color w:val="2E5FA3"/>
          <w:sz w:val="26"/>
        </w:rPr>
        <w:t>2.  Scope</w:t>
      </w:r>
    </w:p>
    <w:p>
      <w:r>
        <w:rPr>
          <w:rFonts w:ascii="Arial" w:hAnsi="Arial"/>
          <w:sz w:val="21"/>
        </w:rPr>
        <w:t>This policy applies to:</w:t>
      </w:r>
    </w:p>
    <w:p>
      <w:pPr>
        <w:ind w:left="360"/>
      </w:pPr>
      <w:r>
        <w:rPr>
          <w:rFonts w:ascii="Arial" w:hAnsi="Arial"/>
          <w:sz w:val="21"/>
        </w:rPr>
        <w:t>•  Acquisition and development of systems, components, software, and services that will handle CUI.</w:t>
      </w:r>
    </w:p>
    <w:p>
      <w:pPr>
        <w:ind w:left="360"/>
      </w:pPr>
      <w:r>
        <w:rPr>
          <w:rFonts w:ascii="Arial" w:hAnsi="Arial"/>
          <w:sz w:val="21"/>
        </w:rPr>
        <w:t>•  External system services and providers operating on the organization's behalf.</w:t>
      </w:r>
    </w:p>
    <w:p>
      <w:pPr>
        <w:ind w:left="360"/>
      </w:pPr>
      <w:r>
        <w:rPr>
          <w:rFonts w:ascii="Arial" w:hAnsi="Arial"/>
          <w:sz w:val="21"/>
        </w:rPr>
        <w:t>•  Decommissioning of unsupported components.</w:t>
      </w:r>
    </w:p>
    <w:p>
      <w:r>
        <w:rPr>
          <w:rFonts w:ascii="Arial" w:hAnsi="Arial"/>
          <w:sz w:val="21"/>
        </w:rPr>
        <w:t>Where CUI is involved, the requirements in this policy are mandatory and supersede convenience or operational preferences.</w:t>
      </w:r>
    </w:p>
    <w:p>
      <w:pPr>
        <w:spacing w:before="200" w:after="80"/>
      </w:pPr>
      <w:r>
        <w:rPr>
          <w:rFonts w:ascii="Arial" w:hAnsi="Arial"/>
          <w:b/>
          <w:color w:val="2E5FA3"/>
          <w:sz w:val="26"/>
        </w:rPr>
        <w:t>3.  Definitions</w:t>
      </w:r>
    </w:p>
    <w:p>
      <w:r>
        <w:rPr>
          <w:rFonts w:ascii="Arial" w:hAnsi="Arial"/>
          <w:b/>
          <w:sz w:val="21"/>
        </w:rPr>
        <w:t xml:space="preserve">Security Engineering Principles: </w:t>
      </w:r>
      <w:r>
        <w:rPr>
          <w:rFonts w:ascii="Arial" w:hAnsi="Arial"/>
          <w:sz w:val="21"/>
        </w:rPr>
        <w:t>Design practices (e.g., least privilege, defense in depth, secure defaults) applied when building systems.</w:t>
      </w:r>
    </w:p>
    <w:p>
      <w:r>
        <w:rPr>
          <w:rFonts w:ascii="Arial" w:hAnsi="Arial"/>
          <w:b/>
          <w:sz w:val="21"/>
        </w:rPr>
        <w:t xml:space="preserve">Unsupported Component: </w:t>
      </w:r>
      <w:r>
        <w:rPr>
          <w:rFonts w:ascii="Arial" w:hAnsi="Arial"/>
          <w:sz w:val="21"/>
        </w:rPr>
        <w:t>Hardware/software no longer receiving security updates from its vendor.</w:t>
      </w:r>
    </w:p>
    <w:p>
      <w:r>
        <w:rPr>
          <w:rFonts w:ascii="Arial" w:hAnsi="Arial"/>
          <w:b/>
          <w:sz w:val="21"/>
        </w:rPr>
        <w:t xml:space="preserve">External System Service: </w:t>
      </w:r>
      <w:r>
        <w:rPr>
          <w:rFonts w:ascii="Arial" w:hAnsi="Arial"/>
          <w:sz w:val="21"/>
        </w:rPr>
        <w:t>A service provided by an external provider (e.g., a SaaS or managed service) used by the organization.</w:t>
      </w:r>
    </w:p>
    <w:p>
      <w:pPr>
        <w:spacing w:before="200" w:after="80"/>
      </w:pPr>
      <w:r>
        <w:rPr>
          <w:rFonts w:ascii="Arial" w:hAnsi="Arial"/>
          <w:b/>
          <w:color w:val="2E5FA3"/>
          <w:sz w:val="26"/>
        </w:rPr>
        <w:t>4.  Roles &amp; Responsibilities</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040"/>
        <w:gridCol w:w="5040"/>
      </w:tblGrid>
      <w:tr>
        <w:tc>
          <w:tcPr>
            <w:tcW w:type="dxa" w:w="5040"/>
            <w:shd w:val="clear" w:color="auto" w:fill="1B3A6B"/>
          </w:tcPr>
          <w:p>
            <w:r/>
            <w:r>
              <w:rPr>
                <w:rFonts w:ascii="Arial" w:hAnsi="Arial"/>
                <w:b/>
                <w:color w:val="FFFFFF"/>
                <w:sz w:val="20"/>
              </w:rPr>
              <w:t>Role</w:t>
            </w:r>
          </w:p>
        </w:tc>
        <w:tc>
          <w:tcPr>
            <w:tcW w:type="dxa" w:w="5040"/>
            <w:shd w:val="clear" w:color="auto" w:fill="1B3A6B"/>
          </w:tcPr>
          <w:p>
            <w:r/>
            <w:r>
              <w:rPr>
                <w:rFonts w:ascii="Arial" w:hAnsi="Arial"/>
                <w:b/>
                <w:color w:val="FFFFFF"/>
                <w:sz w:val="20"/>
              </w:rPr>
              <w:t>Key Responsibilities</w:t>
            </w:r>
          </w:p>
        </w:tc>
      </w:tr>
      <w:tr>
        <w:tc>
          <w:tcPr>
            <w:tcW w:type="dxa" w:w="5040"/>
          </w:tcPr>
          <w:p>
            <w:r/>
            <w:r>
              <w:rPr>
                <w:rFonts w:ascii="Arial" w:hAnsi="Arial"/>
                <w:b w:val="0"/>
                <w:sz w:val="20"/>
              </w:rPr>
              <w:t>[IT Manager / ISSO]</w:t>
            </w:r>
          </w:p>
        </w:tc>
        <w:tc>
          <w:tcPr>
            <w:tcW w:type="dxa" w:w="5040"/>
          </w:tcPr>
          <w:p>
            <w:r/>
            <w:r>
              <w:rPr>
                <w:rFonts w:ascii="Arial" w:hAnsi="Arial"/>
                <w:b w:val="0"/>
                <w:sz w:val="20"/>
              </w:rPr>
              <w:t>Own this policy; define security requirements for acquisitions; approve external services; track component support status.</w:t>
            </w:r>
          </w:p>
        </w:tc>
      </w:tr>
      <w:tr>
        <w:tc>
          <w:tcPr>
            <w:tcW w:type="dxa" w:w="5040"/>
          </w:tcPr>
          <w:p>
            <w:r/>
            <w:r>
              <w:rPr>
                <w:rFonts w:ascii="Arial" w:hAnsi="Arial"/>
                <w:b w:val="0"/>
                <w:sz w:val="20"/>
              </w:rPr>
              <w:t>[System Administrator] / Developers</w:t>
            </w:r>
          </w:p>
        </w:tc>
        <w:tc>
          <w:tcPr>
            <w:tcW w:type="dxa" w:w="5040"/>
          </w:tcPr>
          <w:p>
            <w:r/>
            <w:r>
              <w:rPr>
                <w:rFonts w:ascii="Arial" w:hAnsi="Arial"/>
                <w:b w:val="0"/>
                <w:sz w:val="20"/>
              </w:rPr>
              <w:t>Apply security engineering principles; configure acquired components securely; replace unsupported components.</w:t>
            </w:r>
          </w:p>
        </w:tc>
      </w:tr>
      <w:tr>
        <w:tc>
          <w:tcPr>
            <w:tcW w:type="dxa" w:w="5040"/>
          </w:tcPr>
          <w:p>
            <w:r/>
            <w:r>
              <w:rPr>
                <w:rFonts w:ascii="Arial" w:hAnsi="Arial"/>
                <w:b w:val="0"/>
                <w:sz w:val="20"/>
              </w:rPr>
              <w:t>[Procurement]</w:t>
            </w:r>
          </w:p>
        </w:tc>
        <w:tc>
          <w:tcPr>
            <w:tcW w:type="dxa" w:w="5040"/>
          </w:tcPr>
          <w:p>
            <w:r/>
            <w:r>
              <w:rPr>
                <w:rFonts w:ascii="Arial" w:hAnsi="Arial"/>
                <w:b w:val="0"/>
                <w:sz w:val="20"/>
              </w:rPr>
              <w:t>Include security requirements in contracts; obtain provider attestations.</w:t>
            </w:r>
          </w:p>
        </w:tc>
      </w:tr>
      <w:tr>
        <w:tc>
          <w:tcPr>
            <w:tcW w:type="dxa" w:w="5040"/>
          </w:tcPr>
          <w:p>
            <w:r/>
            <w:r>
              <w:rPr>
                <w:rFonts w:ascii="Arial" w:hAnsi="Arial"/>
                <w:b w:val="0"/>
                <w:sz w:val="20"/>
              </w:rPr>
              <w:t>[Senior Leadership / CISO]</w:t>
            </w:r>
          </w:p>
        </w:tc>
        <w:tc>
          <w:tcPr>
            <w:tcW w:type="dxa" w:w="5040"/>
          </w:tcPr>
          <w:p>
            <w:r/>
            <w:r>
              <w:rPr>
                <w:rFonts w:ascii="Arial" w:hAnsi="Arial"/>
                <w:b w:val="0"/>
                <w:sz w:val="20"/>
              </w:rPr>
              <w:t>Approve this policy; accept residual risk for documented exceptions.</w:t>
            </w:r>
          </w:p>
        </w:tc>
      </w:tr>
    </w:tbl>
    <w:p/>
    <w:p>
      <w:pPr>
        <w:spacing w:before="200" w:after="80"/>
      </w:pPr>
      <w:r>
        <w:rPr>
          <w:rFonts w:ascii="Arial" w:hAnsi="Arial"/>
          <w:b/>
          <w:color w:val="2E5FA3"/>
          <w:sz w:val="26"/>
        </w:rPr>
        <w:t>5.  Policy Statements</w:t>
      </w:r>
    </w:p>
    <w:p>
      <w:r>
        <w:rPr>
          <w:rFonts w:ascii="Arial" w:hAnsi="Arial"/>
          <w:b/>
          <w:color w:val="2E5FA3"/>
          <w:sz w:val="21"/>
        </w:rPr>
        <w:t>PS-1  Security Requirements in Acquisition</w:t>
      </w:r>
    </w:p>
    <w:p>
      <w:r>
        <w:rPr>
          <w:rFonts w:ascii="Arial" w:hAnsi="Arial"/>
          <w:sz w:val="21"/>
        </w:rPr>
        <w:t>Security requirements (including CUI protection requirements such as the applicable NIST 800-171 / CMMC controls) must be defined and included in acquisitions and contracts for systems, components, and services that will handle CUI.</w:t>
      </w:r>
    </w:p>
    <w:p>
      <w:r>
        <w:rPr>
          <w:rFonts w:ascii="Arial" w:hAnsi="Arial"/>
          <w:b/>
          <w:color w:val="2E5FA3"/>
          <w:sz w:val="21"/>
        </w:rPr>
        <w:t>PS-2  Security Engineering Principles</w:t>
      </w:r>
    </w:p>
    <w:p>
      <w:r>
        <w:rPr>
          <w:rFonts w:ascii="Arial" w:hAnsi="Arial"/>
          <w:sz w:val="21"/>
        </w:rPr>
        <w:t>Security engineering principles (e.g., least privilege, defense in depth, secure defaults, minimization) must be applied when designing, developing, and configuring systems.</w:t>
      </w:r>
    </w:p>
    <w:p>
      <w:r>
        <w:rPr>
          <w:rFonts w:ascii="Arial" w:hAnsi="Arial"/>
          <w:b/>
          <w:color w:val="2E5FA3"/>
          <w:sz w:val="21"/>
        </w:rPr>
        <w:t>PS-3  Unsupported Components</w:t>
      </w:r>
    </w:p>
    <w:p>
      <w:r>
        <w:rPr>
          <w:rFonts w:ascii="Arial" w:hAnsi="Arial"/>
          <w:sz w:val="21"/>
        </w:rPr>
        <w:t>Unsupported system components must be identified and replaced; where continued use is unavoidable, documented compensating controls and a remediation plan must be in place.</w:t>
      </w:r>
    </w:p>
    <w:p>
      <w:r>
        <w:rPr>
          <w:rFonts w:ascii="Arial" w:hAnsi="Arial"/>
          <w:b/>
          <w:color w:val="2E5FA3"/>
          <w:sz w:val="21"/>
        </w:rPr>
        <w:t>PS-4  External System Services</w:t>
      </w:r>
    </w:p>
    <w:p>
      <w:r>
        <w:rPr>
          <w:rFonts w:ascii="Arial" w:hAnsi="Arial"/>
          <w:sz w:val="21"/>
        </w:rPr>
        <w:t>Providers of external system services that store, process, or transmit CUI must meet equivalent security requirements; responsibilities must be defined in agreements, and provider compliance verified (e.g., attestations, certifications).</w:t>
      </w:r>
    </w:p>
    <w:p>
      <w:r>
        <w:rPr>
          <w:rFonts w:ascii="Arial" w:hAnsi="Arial"/>
          <w:b/>
          <w:color w:val="2E5FA3"/>
          <w:sz w:val="21"/>
        </w:rPr>
        <w:t>PS-5  Acceptance &amp; Verification</w:t>
      </w:r>
    </w:p>
    <w:p>
      <w:r>
        <w:rPr>
          <w:rFonts w:ascii="Arial" w:hAnsi="Arial"/>
          <w:sz w:val="21"/>
        </w:rPr>
        <w:t>Before systems or services are placed into operation, their security configuration and controls must be verified against the defined requirements.</w:t>
      </w:r>
    </w:p>
    <w:p>
      <w:pPr>
        <w:spacing w:before="200" w:after="80"/>
      </w:pPr>
      <w:r>
        <w:rPr>
          <w:rFonts w:ascii="Arial" w:hAnsi="Arial"/>
          <w:b/>
          <w:color w:val="2E5FA3"/>
          <w:sz w:val="26"/>
        </w:rPr>
        <w:t>6.  Procedures &amp; Audit Evidence</w:t>
      </w:r>
    </w:p>
    <w:p>
      <w:r>
        <w:rPr>
          <w:rFonts w:ascii="Arial" w:hAnsi="Arial"/>
          <w:sz w:val="21"/>
        </w:rPr>
        <w:t>6.1  Acquire Securely</w:t>
      </w:r>
    </w:p>
    <w:p>
      <w:pPr>
        <w:ind w:left="360"/>
      </w:pPr>
      <w:r>
        <w:rPr>
          <w:rFonts w:ascii="Arial" w:hAnsi="Arial"/>
          <w:sz w:val="21"/>
        </w:rPr>
        <w:t>•  Define and include security/CUI requirements in acquisitions and contracts.</w:t>
      </w:r>
    </w:p>
    <w:p>
      <w:pPr>
        <w:ind w:left="360"/>
      </w:pPr>
      <w:r>
        <w:rPr>
          <w:rFonts w:ascii="Arial" w:hAnsi="Arial"/>
          <w:sz w:val="21"/>
        </w:rPr>
        <w:t>•  Apply security engineering principles in design and configuration; verify before go-live.</w:t>
      </w:r>
    </w:p>
    <w:p>
      <w:r>
        <w:rPr>
          <w:rFonts w:ascii="Arial" w:hAnsi="Arial"/>
          <w:b/>
          <w:sz w:val="21"/>
        </w:rPr>
        <w:t xml:space="preserve">Audit evidence: </w:t>
      </w:r>
      <w:r>
        <w:rPr>
          <w:rFonts w:ascii="Arial" w:hAnsi="Arial"/>
          <w:sz w:val="21"/>
        </w:rPr>
        <w:t>Acquisition/contract security requirements; design/configuration evidence; acceptance checklists.</w:t>
      </w:r>
    </w:p>
    <w:p>
      <w:r>
        <w:rPr>
          <w:rFonts w:ascii="Arial" w:hAnsi="Arial"/>
          <w:sz w:val="21"/>
        </w:rPr>
        <w:t>6.2  Providers &amp; Lifecycle</w:t>
      </w:r>
    </w:p>
    <w:p>
      <w:pPr>
        <w:ind w:left="360"/>
      </w:pPr>
      <w:r>
        <w:rPr>
          <w:rFonts w:ascii="Arial" w:hAnsi="Arial"/>
          <w:sz w:val="21"/>
        </w:rPr>
        <w:t>•  Assess and contract external service providers handling CUI; verify compliance.</w:t>
      </w:r>
    </w:p>
    <w:p>
      <w:pPr>
        <w:ind w:left="360"/>
      </w:pPr>
      <w:r>
        <w:rPr>
          <w:rFonts w:ascii="Arial" w:hAnsi="Arial"/>
          <w:sz w:val="21"/>
        </w:rPr>
        <w:t>•  Identify and replace unsupported components; document compensating controls where needed.</w:t>
      </w:r>
    </w:p>
    <w:p>
      <w:r>
        <w:rPr>
          <w:rFonts w:ascii="Arial" w:hAnsi="Arial"/>
          <w:b/>
          <w:sz w:val="21"/>
        </w:rPr>
        <w:t xml:space="preserve">Audit evidence: </w:t>
      </w:r>
      <w:r>
        <w:rPr>
          <w:rFonts w:ascii="Arial" w:hAnsi="Arial"/>
          <w:sz w:val="21"/>
        </w:rPr>
        <w:t>Provider agreements and attestations; unsupported-component inventory and remediation plans.</w:t>
      </w:r>
    </w:p>
    <w:p>
      <w:pPr>
        <w:spacing w:before="200" w:after="80"/>
      </w:pPr>
      <w:r>
        <w:rPr>
          <w:rFonts w:ascii="Arial" w:hAnsi="Arial"/>
          <w:b/>
          <w:color w:val="2E5FA3"/>
          <w:sz w:val="26"/>
        </w:rPr>
        <w:t>7.  Compliance, Monitoring &amp; Enforcement</w:t>
      </w:r>
    </w:p>
    <w:p>
      <w:r>
        <w:rPr>
          <w:rFonts w:ascii="Arial" w:hAnsi="Arial"/>
          <w:sz w:val="21"/>
        </w:rPr>
        <w:t>The [IT Manager / ISSO] shall review compliance with this policy at least [quarterly] by verifying security requirements are included in acquisitions, security engineering principles are applied, unsupported components are managed, and external CUI service providers meet requirements. Results shall be reported to [Senior Leadership / CISO].</w:t>
      </w:r>
    </w:p>
    <w:p>
      <w:r>
        <w:rPr>
          <w:rFonts w:ascii="Arial" w:hAnsi="Arial"/>
          <w:sz w:val="21"/>
        </w:rPr>
        <w:t>Violations may result in:</w:t>
      </w:r>
    </w:p>
    <w:p>
      <w:pPr>
        <w:ind w:left="360"/>
      </w:pPr>
      <w:r>
        <w:rPr>
          <w:rFonts w:ascii="Arial" w:hAnsi="Arial"/>
          <w:sz w:val="21"/>
        </w:rPr>
        <w:t>•  Remediation of the deficiency within a timeframe set by the policy owner based on risk.</w:t>
      </w:r>
    </w:p>
    <w:p>
      <w:pPr>
        <w:ind w:left="360"/>
      </w:pPr>
      <w:r>
        <w:rPr>
          <w:rFonts w:ascii="Arial" w:hAnsi="Arial"/>
          <w:sz w:val="21"/>
        </w:rPr>
        <w:t>•  Disciplinary action up to and including termination of employment or contract, consistent with [Organization Name]'s disciplinary procedures.</w:t>
      </w:r>
    </w:p>
    <w:p>
      <w:pPr>
        <w:ind w:left="360"/>
      </w:pPr>
      <w:r>
        <w:rPr>
          <w:rFonts w:ascii="Arial" w:hAnsi="Arial"/>
          <w:sz w:val="21"/>
        </w:rPr>
        <w:t>•  Referral to law enforcement and notification to government contracting officers where CUI or criminal activity is involved, as required by the applicable contract or regulation.</w:t>
      </w:r>
    </w:p>
    <w:p>
      <w:pPr>
        <w:spacing w:before="200" w:after="80"/>
      </w:pPr>
      <w:r>
        <w:rPr>
          <w:rFonts w:ascii="Arial" w:hAnsi="Arial"/>
          <w:b/>
          <w:color w:val="2E5FA3"/>
          <w:sz w:val="26"/>
        </w:rPr>
        <w:t>8.  Exceptions</w:t>
      </w:r>
    </w:p>
    <w:p>
      <w:r>
        <w:rPr>
          <w:rFonts w:ascii="Arial" w:hAnsi="Arial"/>
          <w:sz w:val="21"/>
        </w:rPr>
        <w:t>Exceptions to this policy must be rare. To request one:</w:t>
      </w:r>
    </w:p>
    <w:p>
      <w:pPr>
        <w:ind w:left="360"/>
      </w:pPr>
      <w:r>
        <w:rPr>
          <w:rFonts w:ascii="Arial" w:hAnsi="Arial"/>
          <w:sz w:val="21"/>
        </w:rPr>
        <w:t>•  The requester submits a written exception to the policy owner describing the requirement that cannot be met, the business justification, the risk introduced, and proposed compensating controls.</w:t>
      </w:r>
    </w:p>
    <w:p>
      <w:pPr>
        <w:ind w:left="360"/>
      </w:pPr>
      <w:r>
        <w:rPr>
          <w:rFonts w:ascii="Arial" w:hAnsi="Arial"/>
          <w:sz w:val="21"/>
        </w:rPr>
        <w:t>•  The policy owner assesses the risk and prepares a recommendation; [Senior Leadership / CISO] approves or denies the exception in writing.</w:t>
      </w:r>
    </w:p>
    <w:p>
      <w:pPr>
        <w:ind w:left="360"/>
      </w:pPr>
      <w:r>
        <w:rPr>
          <w:rFonts w:ascii="Arial" w:hAnsi="Arial"/>
          <w:sz w:val="21"/>
        </w:rPr>
        <w:t>•  Approved exceptions are logged in the Exception Register with an expiry of no more than [organization-defined: 12 months; recommended: 12 months], reviewed upon expiry, and reflected as a plan of action and milestones (POA&amp;M) item in the SSP where CUI systems are affected.</w:t>
      </w:r>
    </w:p>
    <w:p>
      <w:pPr>
        <w:spacing w:before="200" w:after="80"/>
      </w:pPr>
      <w:r>
        <w:rPr>
          <w:rFonts w:ascii="Arial" w:hAnsi="Arial"/>
          <w:b/>
          <w:color w:val="2E5FA3"/>
          <w:sz w:val="26"/>
        </w:rPr>
        <w:t>9.  Related Documents</w:t>
      </w:r>
    </w:p>
    <w:p>
      <w:pPr>
        <w:ind w:left="360"/>
      </w:pPr>
      <w:r>
        <w:rPr>
          <w:rFonts w:ascii="Arial" w:hAnsi="Arial"/>
          <w:sz w:val="21"/>
        </w:rPr>
        <w:t>•  Supply Chain Risk Management Policy — supplier and supply-chain risk.</w:t>
      </w:r>
    </w:p>
    <w:p>
      <w:pPr>
        <w:ind w:left="360"/>
      </w:pPr>
      <w:r>
        <w:rPr>
          <w:rFonts w:ascii="Arial" w:hAnsi="Arial"/>
          <w:sz w:val="21"/>
        </w:rPr>
        <w:t>•  Configuration Management Policy — secure configuration of acquired components.</w:t>
      </w:r>
    </w:p>
    <w:p>
      <w:pPr>
        <w:ind w:left="360"/>
      </w:pPr>
      <w:r>
        <w:rPr>
          <w:rFonts w:ascii="Arial" w:hAnsi="Arial"/>
          <w:sz w:val="21"/>
        </w:rPr>
        <w:t>•  Risk Assessment Policy — assessing acquisition and provider risk.</w:t>
      </w:r>
    </w:p>
    <w:p>
      <w:pPr>
        <w:ind w:left="360"/>
      </w:pPr>
      <w:r>
        <w:rPr>
          <w:rFonts w:ascii="Arial" w:hAnsi="Arial"/>
          <w:sz w:val="21"/>
        </w:rPr>
        <w:t>•  System Security Plan (SSP) — boundary including external services.</w:t>
      </w:r>
    </w:p>
    <w:p>
      <w:pPr>
        <w:spacing w:before="200" w:after="80"/>
      </w:pPr>
      <w:r>
        <w:rPr>
          <w:rFonts w:ascii="Arial" w:hAnsi="Arial"/>
          <w:b/>
          <w:color w:val="2E5FA3"/>
          <w:sz w:val="26"/>
        </w:rPr>
        <w:t>10.  Control Mapping</w:t>
      </w:r>
    </w:p>
    <w:p>
      <w:r>
        <w:rPr>
          <w:rFonts w:ascii="Arial" w:hAnsi="Arial"/>
          <w:sz w:val="21"/>
        </w:rPr>
        <w:t>The table below maps each required control to the policy statement(s) that satisfy it and the evidence an auditor will seek. Control IDs are from NIST SP 800-171 Rev 3 (family 03.16); they are equally applicable to CMMC 2.0 Level 2 and ITSP.10.171 (CPCSC).</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360"/>
        <w:gridCol w:w="3360"/>
        <w:gridCol w:w="3360"/>
      </w:tblGrid>
      <w:tr>
        <w:tc>
          <w:tcPr>
            <w:tcW w:type="dxa" w:w="3360"/>
            <w:shd w:val="clear" w:color="auto" w:fill="1B3A6B"/>
          </w:tcPr>
          <w:p>
            <w:r/>
            <w:r>
              <w:rPr>
                <w:rFonts w:ascii="Arial" w:hAnsi="Arial"/>
                <w:b/>
                <w:color w:val="FFFFFF"/>
                <w:sz w:val="20"/>
              </w:rPr>
              <w:t>Control ID</w:t>
            </w:r>
          </w:p>
        </w:tc>
        <w:tc>
          <w:tcPr>
            <w:tcW w:type="dxa" w:w="3360"/>
            <w:shd w:val="clear" w:color="auto" w:fill="1B3A6B"/>
          </w:tcPr>
          <w:p>
            <w:r/>
            <w:r>
              <w:rPr>
                <w:rFonts w:ascii="Arial" w:hAnsi="Arial"/>
                <w:b/>
                <w:color w:val="FFFFFF"/>
                <w:sz w:val="20"/>
              </w:rPr>
              <w:t>Policy Statement(s)</w:t>
            </w:r>
          </w:p>
        </w:tc>
        <w:tc>
          <w:tcPr>
            <w:tcW w:type="dxa" w:w="3360"/>
            <w:shd w:val="clear" w:color="auto" w:fill="1B3A6B"/>
          </w:tcPr>
          <w:p>
            <w:r/>
            <w:r>
              <w:rPr>
                <w:rFonts w:ascii="Arial" w:hAnsi="Arial"/>
                <w:b/>
                <w:color w:val="FFFFFF"/>
                <w:sz w:val="20"/>
              </w:rPr>
              <w:t>Expected Audit Evidence</w:t>
            </w:r>
          </w:p>
        </w:tc>
      </w:tr>
      <w:tr>
        <w:tc>
          <w:tcPr>
            <w:tcW w:type="dxa" w:w="3360"/>
          </w:tcPr>
          <w:p>
            <w:r/>
            <w:r>
              <w:rPr>
                <w:rFonts w:ascii="Arial" w:hAnsi="Arial"/>
                <w:b w:val="0"/>
                <w:sz w:val="20"/>
              </w:rPr>
              <w:t>03.16.01  Security Engineering Principles</w:t>
            </w:r>
          </w:p>
        </w:tc>
        <w:tc>
          <w:tcPr>
            <w:tcW w:type="dxa" w:w="3360"/>
          </w:tcPr>
          <w:p>
            <w:r/>
            <w:r>
              <w:rPr>
                <w:rFonts w:ascii="Arial" w:hAnsi="Arial"/>
                <w:b w:val="0"/>
                <w:sz w:val="20"/>
              </w:rPr>
              <w:t>PS-2, PS-5 — engineering principles; verification</w:t>
            </w:r>
          </w:p>
        </w:tc>
        <w:tc>
          <w:tcPr>
            <w:tcW w:type="dxa" w:w="3360"/>
          </w:tcPr>
          <w:p>
            <w:r/>
            <w:r>
              <w:rPr>
                <w:rFonts w:ascii="Arial" w:hAnsi="Arial"/>
                <w:b w:val="0"/>
                <w:sz w:val="20"/>
              </w:rPr>
              <w:t>Design/config evidence; acceptance checklists</w:t>
            </w:r>
          </w:p>
        </w:tc>
      </w:tr>
      <w:tr>
        <w:tc>
          <w:tcPr>
            <w:tcW w:type="dxa" w:w="3360"/>
          </w:tcPr>
          <w:p>
            <w:r/>
            <w:r>
              <w:rPr>
                <w:rFonts w:ascii="Arial" w:hAnsi="Arial"/>
                <w:b w:val="0"/>
                <w:sz w:val="20"/>
              </w:rPr>
              <w:t>03.16.02  Unsupported System Components</w:t>
            </w:r>
          </w:p>
        </w:tc>
        <w:tc>
          <w:tcPr>
            <w:tcW w:type="dxa" w:w="3360"/>
          </w:tcPr>
          <w:p>
            <w:r/>
            <w:r>
              <w:rPr>
                <w:rFonts w:ascii="Arial" w:hAnsi="Arial"/>
                <w:b w:val="0"/>
                <w:sz w:val="20"/>
              </w:rPr>
              <w:t>PS-3 — manage/replace unsupported components</w:t>
            </w:r>
          </w:p>
        </w:tc>
        <w:tc>
          <w:tcPr>
            <w:tcW w:type="dxa" w:w="3360"/>
          </w:tcPr>
          <w:p>
            <w:r/>
            <w:r>
              <w:rPr>
                <w:rFonts w:ascii="Arial" w:hAnsi="Arial"/>
                <w:b w:val="0"/>
                <w:sz w:val="20"/>
              </w:rPr>
              <w:t>Unsupported-component inventory; remediation plans</w:t>
            </w:r>
          </w:p>
        </w:tc>
      </w:tr>
      <w:tr>
        <w:tc>
          <w:tcPr>
            <w:tcW w:type="dxa" w:w="3360"/>
          </w:tcPr>
          <w:p>
            <w:r/>
            <w:r>
              <w:rPr>
                <w:rFonts w:ascii="Arial" w:hAnsi="Arial"/>
                <w:b w:val="0"/>
                <w:sz w:val="20"/>
              </w:rPr>
              <w:t>03.16.03  External System Services</w:t>
            </w:r>
          </w:p>
        </w:tc>
        <w:tc>
          <w:tcPr>
            <w:tcW w:type="dxa" w:w="3360"/>
          </w:tcPr>
          <w:p>
            <w:r/>
            <w:r>
              <w:rPr>
                <w:rFonts w:ascii="Arial" w:hAnsi="Arial"/>
                <w:b w:val="0"/>
                <w:sz w:val="20"/>
              </w:rPr>
              <w:t>PS-1, PS-4 — requirements and provider compliance</w:t>
            </w:r>
          </w:p>
        </w:tc>
        <w:tc>
          <w:tcPr>
            <w:tcW w:type="dxa" w:w="3360"/>
          </w:tcPr>
          <w:p>
            <w:r/>
            <w:r>
              <w:rPr>
                <w:rFonts w:ascii="Arial" w:hAnsi="Arial"/>
                <w:b w:val="0"/>
                <w:sz w:val="20"/>
              </w:rPr>
              <w:t>Contract requirements; provider attestations</w:t>
            </w:r>
          </w:p>
        </w:tc>
      </w:tr>
    </w:tbl>
    <w:p/>
    <w:p>
      <w:pPr>
        <w:spacing w:before="200" w:after="80"/>
      </w:pPr>
      <w:r>
        <w:rPr>
          <w:rFonts w:ascii="Arial" w:hAnsi="Arial"/>
          <w:b/>
          <w:color w:val="2E5FA3"/>
          <w:sz w:val="26"/>
        </w:rPr>
        <w:t>11.  Revision History</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20"/>
        <w:gridCol w:w="2520"/>
        <w:gridCol w:w="2520"/>
        <w:gridCol w:w="2520"/>
      </w:tblGrid>
      <w:tr>
        <w:tc>
          <w:tcPr>
            <w:tcW w:type="dxa" w:w="2520"/>
            <w:shd w:val="clear" w:color="auto" w:fill="1B3A6B"/>
          </w:tcPr>
          <w:p>
            <w:r/>
            <w:r>
              <w:rPr>
                <w:rFonts w:ascii="Arial" w:hAnsi="Arial"/>
                <w:b/>
                <w:color w:val="FFFFFF"/>
                <w:sz w:val="20"/>
              </w:rPr>
              <w:t>Version</w:t>
            </w:r>
          </w:p>
        </w:tc>
        <w:tc>
          <w:tcPr>
            <w:tcW w:type="dxa" w:w="2520"/>
            <w:shd w:val="clear" w:color="auto" w:fill="1B3A6B"/>
          </w:tcPr>
          <w:p>
            <w:r/>
            <w:r>
              <w:rPr>
                <w:rFonts w:ascii="Arial" w:hAnsi="Arial"/>
                <w:b/>
                <w:color w:val="FFFFFF"/>
                <w:sz w:val="20"/>
              </w:rPr>
              <w:t>Date</w:t>
            </w:r>
          </w:p>
        </w:tc>
        <w:tc>
          <w:tcPr>
            <w:tcW w:type="dxa" w:w="2520"/>
            <w:shd w:val="clear" w:color="auto" w:fill="1B3A6B"/>
          </w:tcPr>
          <w:p>
            <w:r/>
            <w:r>
              <w:rPr>
                <w:rFonts w:ascii="Arial" w:hAnsi="Arial"/>
                <w:b/>
                <w:color w:val="FFFFFF"/>
                <w:sz w:val="20"/>
              </w:rPr>
              <w:t>Author / Role</w:t>
            </w:r>
          </w:p>
        </w:tc>
        <w:tc>
          <w:tcPr>
            <w:tcW w:type="dxa" w:w="2520"/>
            <w:shd w:val="clear" w:color="auto" w:fill="1B3A6B"/>
          </w:tcPr>
          <w:p>
            <w:r/>
            <w:r>
              <w:rPr>
                <w:rFonts w:ascii="Arial" w:hAnsi="Arial"/>
                <w:b/>
                <w:color w:val="FFFFFF"/>
                <w:sz w:val="20"/>
              </w:rPr>
              <w:t>Summary of Changes</w:t>
            </w:r>
          </w:p>
        </w:tc>
      </w:tr>
      <w:tr>
        <w:tc>
          <w:tcPr>
            <w:tcW w:type="dxa" w:w="2520"/>
          </w:tcPr>
          <w:p>
            <w:r/>
            <w:r>
              <w:rPr>
                <w:rFonts w:ascii="Arial" w:hAnsi="Arial"/>
                <w:b w:val="0"/>
                <w:sz w:val="20"/>
              </w:rPr>
              <w:t>1.0</w:t>
            </w:r>
          </w:p>
        </w:tc>
        <w:tc>
          <w:tcPr>
            <w:tcW w:type="dxa" w:w="2520"/>
          </w:tcPr>
          <w:p>
            <w:r/>
            <w:r>
              <w:rPr>
                <w:rFonts w:ascii="Arial" w:hAnsi="Arial"/>
                <w:b w:val="0"/>
                <w:sz w:val="20"/>
              </w:rPr>
              <w:t>[YYYY-MM-DD]</w:t>
            </w:r>
          </w:p>
        </w:tc>
        <w:tc>
          <w:tcPr>
            <w:tcW w:type="dxa" w:w="2520"/>
          </w:tcPr>
          <w:p>
            <w:r/>
            <w:r>
              <w:rPr>
                <w:rFonts w:ascii="Arial" w:hAnsi="Arial"/>
                <w:b w:val="0"/>
                <w:sz w:val="20"/>
              </w:rPr>
              <w:t>[IT Manager / ISSO]</w:t>
            </w:r>
          </w:p>
        </w:tc>
        <w:tc>
          <w:tcPr>
            <w:tcW w:type="dxa" w:w="2520"/>
          </w:tcPr>
          <w:p>
            <w:r/>
            <w:r>
              <w:rPr>
                <w:rFonts w:ascii="Arial" w:hAnsi="Arial"/>
                <w:b w:val="0"/>
                <w:sz w:val="20"/>
              </w:rPr>
              <w:t>Initial policy release.</w:t>
            </w:r>
          </w:p>
        </w:tc>
      </w:tr>
    </w:tbl>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1"/>
      </w:pBdr>
      <w:spacing w:before="80"/>
      <w:jc w:val="center"/>
    </w:pPr>
    <w:r>
      <w:rPr>
        <w:rFonts w:ascii="Arial" w:cs="Arial" w:eastAsia="Arial" w:hAnsi="Arial"/>
        <w:i/>
        <w:iCs/>
        <w:color w:val="8096B0"/>
        <w:sz w:val="15"/>
        <w:szCs w:val="15"/>
      </w:rPr>
      <w:t xml:space="preserve">CONFIDENTIAL — For internal use only. Review annually or upon significant change.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1"/>
      </w:pBdr>
      <w:spacing w:after="80"/>
      <w:jc w:val="right"/>
    </w:pPr>
    <w:r>
      <w:rPr>
        <w:rFonts w:ascii="Arial" w:cs="Arial" w:eastAsia="Arial" w:hAnsi="Arial"/>
        <w:color w:val="8096B0"/>
        <w:sz w:val="16"/>
        <w:szCs w:val="16"/>
      </w:rPr>
      <w:t xml:space="preserve">[Organization Name]  |  Access Control Policy  |  v[1.0]  |  </w:t>
    </w:r>
    <w:r>
      <w:rPr>
        <w:rFonts w:ascii="Arial" w:cs="Arial" w:eastAsia="Arial" w:hAnsi="Arial"/>
        <w:color w:val="8096B0"/>
        <w:sz w:val="16"/>
        <w:szCs w:val="16"/>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PS-%1."/>
      <w:lvlJc w:val="left"/>
      <w:pPr>
        <w:ind w:left="700" w:hanging="400"/>
      </w:pPr>
    </w:lvl>
  </w:abstractNum>
  <w:abstractNum w:abstractNumId="4"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0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5FA3"/>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2026-06-06T13:50:17.851Z</dcterms:created>
  <dcterms:modified xsi:type="dcterms:W3CDTF">2026-06-06T13:50:17.852Z</dcterms:modified>
</cp:coreProperties>
</file>

<file path=docProps/custom.xml><?xml version="1.0" encoding="utf-8"?>
<Properties xmlns="http://schemas.openxmlformats.org/officeDocument/2006/custom-properties" xmlns:vt="http://schemas.openxmlformats.org/officeDocument/2006/docPropsVTypes"/>
</file>