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d'acquisition des systèmes et des services</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d'acquisition des systèmes et des services</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intègre la sécurité à l'acquisition et au développement des systèmes, composants et services qui traiteront, stockeront ou transmettront de l'information contrôlée non classifiée (CUI). Les exigences de sécurité définies avant l'acquisition sont bien moins coûteuses et plus efficaces que les correctifs après coup. Cette politique garantit que les principes d'ingénierie de sécurité sont appliqués, que les composants non pris en charge sont évités et que les fournisseurs de services externes respectent les exigences relatives aux CUI.</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L'acquisition et le développement de systèmes, composants, logiciels et services qui traiteront des CUI.</w:t>
      </w:r>
    </w:p>
    <w:p>
      <w:pPr>
        <w:ind w:left="360"/>
      </w:pPr>
      <w:r>
        <w:rPr>
          <w:rFonts w:ascii="Arial" w:hAnsi="Arial"/>
          <w:sz w:val="21"/>
        </w:rPr>
        <w:t>•  Les services de systèmes externes et les fournisseurs opérant pour le compte de l'organisation.</w:t>
      </w:r>
    </w:p>
    <w:p>
      <w:pPr>
        <w:ind w:left="360"/>
      </w:pPr>
      <w:r>
        <w:rPr>
          <w:rFonts w:ascii="Arial" w:hAnsi="Arial"/>
          <w:sz w:val="21"/>
        </w:rPr>
        <w:t>•  La mise hors service des composants non pris en charge.</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Principes d'ingénierie de sécurité: </w:t>
      </w:r>
      <w:r>
        <w:rPr>
          <w:rFonts w:ascii="Arial" w:hAnsi="Arial"/>
          <w:sz w:val="21"/>
        </w:rPr>
        <w:t>Pratiques de conception (p. ex. moindre privilège, défense en profondeur, valeurs par défaut sécurisées) appliquées à la construction des systèmes.</w:t>
      </w:r>
    </w:p>
    <w:p>
      <w:r>
        <w:rPr>
          <w:rFonts w:ascii="Arial" w:hAnsi="Arial"/>
          <w:b/>
          <w:sz w:val="21"/>
        </w:rPr>
        <w:t xml:space="preserve">Composant non pris en charge: </w:t>
      </w:r>
      <w:r>
        <w:rPr>
          <w:rFonts w:ascii="Arial" w:hAnsi="Arial"/>
          <w:sz w:val="21"/>
        </w:rPr>
        <w:t>Matériel/logiciel ne recevant plus de mises à jour de sécurité de son fournisseur.</w:t>
      </w:r>
    </w:p>
    <w:p>
      <w:r>
        <w:rPr>
          <w:rFonts w:ascii="Arial" w:hAnsi="Arial"/>
          <w:b/>
          <w:sz w:val="21"/>
        </w:rPr>
        <w:t xml:space="preserve">Service de système externe: </w:t>
      </w:r>
      <w:r>
        <w:rPr>
          <w:rFonts w:ascii="Arial" w:hAnsi="Arial"/>
          <w:sz w:val="21"/>
        </w:rPr>
        <w:t>Un service fourni par un fournisseur externe (p. ex. SaaS ou service géré) utilisé par l'organisation.</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définir les exigences de sécurité des acquisitions; approuver les services externes; suivre l'état de prise en charge des composants.</w:t>
            </w:r>
          </w:p>
        </w:tc>
      </w:tr>
      <w:tr>
        <w:tc>
          <w:tcPr>
            <w:tcW w:type="dxa" w:w="5040"/>
          </w:tcPr>
          <w:p>
            <w:r/>
            <w:r>
              <w:rPr>
                <w:rFonts w:ascii="Arial" w:hAnsi="Arial"/>
                <w:b w:val="0"/>
                <w:sz w:val="20"/>
              </w:rPr>
              <w:t>[Administrateur système] / Développeurs</w:t>
            </w:r>
          </w:p>
        </w:tc>
        <w:tc>
          <w:tcPr>
            <w:tcW w:type="dxa" w:w="5040"/>
          </w:tcPr>
          <w:p>
            <w:r/>
            <w:r>
              <w:rPr>
                <w:rFonts w:ascii="Arial" w:hAnsi="Arial"/>
                <w:b w:val="0"/>
                <w:sz w:val="20"/>
              </w:rPr>
              <w:t>Appliquer les principes d'ingénierie de sécurité; configurer les composants de façon sécurisée; remplacer les composants non pris en charge.</w:t>
            </w:r>
          </w:p>
        </w:tc>
      </w:tr>
      <w:tr>
        <w:tc>
          <w:tcPr>
            <w:tcW w:type="dxa" w:w="5040"/>
          </w:tcPr>
          <w:p>
            <w:r/>
            <w:r>
              <w:rPr>
                <w:rFonts w:ascii="Arial" w:hAnsi="Arial"/>
                <w:b w:val="0"/>
                <w:sz w:val="20"/>
              </w:rPr>
              <w:t>[Approvisionnement]</w:t>
            </w:r>
          </w:p>
        </w:tc>
        <w:tc>
          <w:tcPr>
            <w:tcW w:type="dxa" w:w="5040"/>
          </w:tcPr>
          <w:p>
            <w:r/>
            <w:r>
              <w:rPr>
                <w:rFonts w:ascii="Arial" w:hAnsi="Arial"/>
                <w:b w:val="0"/>
                <w:sz w:val="20"/>
              </w:rPr>
              <w:t>Inclure les exigences de sécurité dans les contrats; obtenir les attestations des fournisseurs.</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accepter le risque résiduel pour les exceptions documentées.</w:t>
            </w:r>
          </w:p>
        </w:tc>
      </w:tr>
    </w:tbl>
    <w:p/>
    <w:p>
      <w:pPr>
        <w:spacing w:before="200" w:after="80"/>
      </w:pPr>
      <w:r>
        <w:rPr>
          <w:rFonts w:ascii="Arial" w:hAnsi="Arial"/>
          <w:b/>
          <w:color w:val="2E5FA3"/>
          <w:sz w:val="26"/>
        </w:rPr>
        <w:t>5.  Énoncés de politique</w:t>
      </w:r>
    </w:p>
    <w:p>
      <w:r>
        <w:rPr>
          <w:rFonts w:ascii="Arial" w:hAnsi="Arial"/>
          <w:b/>
          <w:color w:val="2E5FA3"/>
          <w:sz w:val="21"/>
        </w:rPr>
        <w:t>PS-1  Exigences de sécurité à l'acquisition</w:t>
      </w:r>
    </w:p>
    <w:p>
      <w:r>
        <w:rPr>
          <w:rFonts w:ascii="Arial" w:hAnsi="Arial"/>
          <w:sz w:val="21"/>
        </w:rPr>
        <w:t>Les exigences de sécurité (y compris les exigences de protection des CUI telles que les contrôles applicables du NIST 800-171 / CMMC) doivent être définies et incluses dans les acquisitions et contrats portant sur des systèmes, composants et services qui traiteront des CUI.</w:t>
      </w:r>
    </w:p>
    <w:p>
      <w:r>
        <w:rPr>
          <w:rFonts w:ascii="Arial" w:hAnsi="Arial"/>
          <w:b/>
          <w:color w:val="2E5FA3"/>
          <w:sz w:val="21"/>
        </w:rPr>
        <w:t>PS-2  Principes d'ingénierie de sécurité</w:t>
      </w:r>
    </w:p>
    <w:p>
      <w:r>
        <w:rPr>
          <w:rFonts w:ascii="Arial" w:hAnsi="Arial"/>
          <w:sz w:val="21"/>
        </w:rPr>
        <w:t>Les principes d'ingénierie de sécurité (p. ex. moindre privilège, défense en profondeur, valeurs par défaut sécurisées, minimisation) doivent être appliqués lors de la conception, du développement et de la configuration des systèmes.</w:t>
      </w:r>
    </w:p>
    <w:p>
      <w:r>
        <w:rPr>
          <w:rFonts w:ascii="Arial" w:hAnsi="Arial"/>
          <w:b/>
          <w:color w:val="2E5FA3"/>
          <w:sz w:val="21"/>
        </w:rPr>
        <w:t>PS-3  Composants non pris en charge</w:t>
      </w:r>
    </w:p>
    <w:p>
      <w:r>
        <w:rPr>
          <w:rFonts w:ascii="Arial" w:hAnsi="Arial"/>
          <w:sz w:val="21"/>
        </w:rPr>
        <w:t>Les composants non pris en charge doivent être cernés et remplacés; lorsque leur usage continu est inévitable, des contrôles compensatoires documentés et un plan de correction doivent être en place.</w:t>
      </w:r>
    </w:p>
    <w:p>
      <w:r>
        <w:rPr>
          <w:rFonts w:ascii="Arial" w:hAnsi="Arial"/>
          <w:b/>
          <w:color w:val="2E5FA3"/>
          <w:sz w:val="21"/>
        </w:rPr>
        <w:t>PS-4  Services de systèmes externes</w:t>
      </w:r>
    </w:p>
    <w:p>
      <w:r>
        <w:rPr>
          <w:rFonts w:ascii="Arial" w:hAnsi="Arial"/>
          <w:sz w:val="21"/>
        </w:rPr>
        <w:t>Les fournisseurs de services externes qui stockent, traitent ou transmettent des CUI doivent satisfaire à des exigences de sécurité équivalentes; les responsabilités doivent être définies dans des ententes, et la conformité des fournisseurs vérifiée (p. ex. attestations, certifications).</w:t>
      </w:r>
    </w:p>
    <w:p>
      <w:r>
        <w:rPr>
          <w:rFonts w:ascii="Arial" w:hAnsi="Arial"/>
          <w:b/>
          <w:color w:val="2E5FA3"/>
          <w:sz w:val="21"/>
        </w:rPr>
        <w:t>PS-5  Acceptation et vérification</w:t>
      </w:r>
    </w:p>
    <w:p>
      <w:r>
        <w:rPr>
          <w:rFonts w:ascii="Arial" w:hAnsi="Arial"/>
          <w:sz w:val="21"/>
        </w:rPr>
        <w:t>Avant la mise en service des systèmes ou services, leur configuration de sécurité et leurs contrôles doivent être vérifiés par rapport aux exigences définies.</w:t>
      </w:r>
    </w:p>
    <w:p>
      <w:pPr>
        <w:spacing w:before="200" w:after="80"/>
      </w:pPr>
      <w:r>
        <w:rPr>
          <w:rFonts w:ascii="Arial" w:hAnsi="Arial"/>
          <w:b/>
          <w:color w:val="2E5FA3"/>
          <w:sz w:val="26"/>
        </w:rPr>
        <w:t>6.  Procédures et preuves d'audit</w:t>
      </w:r>
    </w:p>
    <w:p>
      <w:r>
        <w:rPr>
          <w:rFonts w:ascii="Arial" w:hAnsi="Arial"/>
          <w:sz w:val="21"/>
        </w:rPr>
        <w:t>6.1  Acquérir de façon sécurisée</w:t>
      </w:r>
    </w:p>
    <w:p>
      <w:pPr>
        <w:ind w:left="360"/>
      </w:pPr>
      <w:r>
        <w:rPr>
          <w:rFonts w:ascii="Arial" w:hAnsi="Arial"/>
          <w:sz w:val="21"/>
        </w:rPr>
        <w:t>•  Définir et inclure les exigences de sécurité/CUI dans les acquisitions et contrats.</w:t>
      </w:r>
    </w:p>
    <w:p>
      <w:pPr>
        <w:ind w:left="360"/>
      </w:pPr>
      <w:r>
        <w:rPr>
          <w:rFonts w:ascii="Arial" w:hAnsi="Arial"/>
          <w:sz w:val="21"/>
        </w:rPr>
        <w:t>•  Appliquer les principes d'ingénierie de sécurité à la conception et à la configuration; vérifier avant la mise en service.</w:t>
      </w:r>
    </w:p>
    <w:p>
      <w:r>
        <w:rPr>
          <w:rFonts w:ascii="Arial" w:hAnsi="Arial"/>
          <w:b/>
          <w:sz w:val="21"/>
        </w:rPr>
        <w:t xml:space="preserve">Preuves d'audit : </w:t>
      </w:r>
      <w:r>
        <w:rPr>
          <w:rFonts w:ascii="Arial" w:hAnsi="Arial"/>
          <w:sz w:val="21"/>
        </w:rPr>
        <w:t>Exigences de sécurité d'acquisition/de contrat; preuves de conception/configuration; listes de vérification d'acceptation.</w:t>
      </w:r>
    </w:p>
    <w:p>
      <w:r>
        <w:rPr>
          <w:rFonts w:ascii="Arial" w:hAnsi="Arial"/>
          <w:sz w:val="21"/>
        </w:rPr>
        <w:t>6.2  Fournisseurs et cycle de vie</w:t>
      </w:r>
    </w:p>
    <w:p>
      <w:pPr>
        <w:ind w:left="360"/>
      </w:pPr>
      <w:r>
        <w:rPr>
          <w:rFonts w:ascii="Arial" w:hAnsi="Arial"/>
          <w:sz w:val="21"/>
        </w:rPr>
        <w:t>•  Évaluer et contracter les fournisseurs externes traitant des CUI; vérifier la conformité.</w:t>
      </w:r>
    </w:p>
    <w:p>
      <w:pPr>
        <w:ind w:left="360"/>
      </w:pPr>
      <w:r>
        <w:rPr>
          <w:rFonts w:ascii="Arial" w:hAnsi="Arial"/>
          <w:sz w:val="21"/>
        </w:rPr>
        <w:t>•  Cerner et remplacer les composants non pris en charge; documenter les contrôles compensatoires au besoin.</w:t>
      </w:r>
    </w:p>
    <w:p>
      <w:r>
        <w:rPr>
          <w:rFonts w:ascii="Arial" w:hAnsi="Arial"/>
          <w:b/>
          <w:sz w:val="21"/>
        </w:rPr>
        <w:t xml:space="preserve">Preuves d'audit : </w:t>
      </w:r>
      <w:r>
        <w:rPr>
          <w:rFonts w:ascii="Arial" w:hAnsi="Arial"/>
          <w:sz w:val="21"/>
        </w:rPr>
        <w:t>Ententes et attestations de fournisseurs; inventaire des composants non pris en charge et plans de correction.</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les exigences de sécurité sont incluses dans les acquisitions, que les principes d'ingénierie de sécurité sont appliqués, que les composants non pris en charge sont gérés et que les fournisseurs de services CUI externes respectent les exigences.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de gestion des risques liés à la chaîne d'approvisionnement — risque des fournisseurs et de la chaîne.</w:t>
      </w:r>
    </w:p>
    <w:p>
      <w:pPr>
        <w:ind w:left="360"/>
      </w:pPr>
      <w:r>
        <w:rPr>
          <w:rFonts w:ascii="Arial" w:hAnsi="Arial"/>
          <w:sz w:val="21"/>
        </w:rPr>
        <w:t>•  Politique de gestion de la configuration — configuration sécurisée des composants acquis.</w:t>
      </w:r>
    </w:p>
    <w:p>
      <w:pPr>
        <w:ind w:left="360"/>
      </w:pPr>
      <w:r>
        <w:rPr>
          <w:rFonts w:ascii="Arial" w:hAnsi="Arial"/>
          <w:sz w:val="21"/>
        </w:rPr>
        <w:t>•  Politique d'évaluation des risques — évaluation du risque d'acquisition et des fournisseurs.</w:t>
      </w:r>
    </w:p>
    <w:p>
      <w:pPr>
        <w:ind w:left="360"/>
      </w:pPr>
      <w:r>
        <w:rPr>
          <w:rFonts w:ascii="Arial" w:hAnsi="Arial"/>
          <w:sz w:val="21"/>
        </w:rPr>
        <w:t>•  Plan de sécurité du système (SSP) — périmètre incluant les services externes.</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03.16);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03.16.01  Principes d'ingénierie de sécurité</w:t>
            </w:r>
          </w:p>
        </w:tc>
        <w:tc>
          <w:tcPr>
            <w:tcW w:type="dxa" w:w="3360"/>
          </w:tcPr>
          <w:p>
            <w:r/>
            <w:r>
              <w:rPr>
                <w:rFonts w:ascii="Arial" w:hAnsi="Arial"/>
                <w:b w:val="0"/>
                <w:sz w:val="20"/>
              </w:rPr>
              <w:t>PS-2, PS-5 — principes d'ingénierie; vérification</w:t>
            </w:r>
          </w:p>
        </w:tc>
        <w:tc>
          <w:tcPr>
            <w:tcW w:type="dxa" w:w="3360"/>
          </w:tcPr>
          <w:p>
            <w:r/>
            <w:r>
              <w:rPr>
                <w:rFonts w:ascii="Arial" w:hAnsi="Arial"/>
                <w:b w:val="0"/>
                <w:sz w:val="20"/>
              </w:rPr>
              <w:t>Preuves de conception/config; listes de vérification d'acceptation</w:t>
            </w:r>
          </w:p>
        </w:tc>
      </w:tr>
      <w:tr>
        <w:tc>
          <w:tcPr>
            <w:tcW w:type="dxa" w:w="3360"/>
          </w:tcPr>
          <w:p>
            <w:r/>
            <w:r>
              <w:rPr>
                <w:rFonts w:ascii="Arial" w:hAnsi="Arial"/>
                <w:b w:val="0"/>
                <w:sz w:val="20"/>
              </w:rPr>
              <w:t>03.16.02  Composants non pris en charge</w:t>
            </w:r>
          </w:p>
        </w:tc>
        <w:tc>
          <w:tcPr>
            <w:tcW w:type="dxa" w:w="3360"/>
          </w:tcPr>
          <w:p>
            <w:r/>
            <w:r>
              <w:rPr>
                <w:rFonts w:ascii="Arial" w:hAnsi="Arial"/>
                <w:b w:val="0"/>
                <w:sz w:val="20"/>
              </w:rPr>
              <w:t>PS-3 — gérer/remplacer les composants non pris en charge</w:t>
            </w:r>
          </w:p>
        </w:tc>
        <w:tc>
          <w:tcPr>
            <w:tcW w:type="dxa" w:w="3360"/>
          </w:tcPr>
          <w:p>
            <w:r/>
            <w:r>
              <w:rPr>
                <w:rFonts w:ascii="Arial" w:hAnsi="Arial"/>
                <w:b w:val="0"/>
                <w:sz w:val="20"/>
              </w:rPr>
              <w:t>Inventaire des composants non pris en charge; plans de correction</w:t>
            </w:r>
          </w:p>
        </w:tc>
      </w:tr>
      <w:tr>
        <w:tc>
          <w:tcPr>
            <w:tcW w:type="dxa" w:w="3360"/>
          </w:tcPr>
          <w:p>
            <w:r/>
            <w:r>
              <w:rPr>
                <w:rFonts w:ascii="Arial" w:hAnsi="Arial"/>
                <w:b w:val="0"/>
                <w:sz w:val="20"/>
              </w:rPr>
              <w:t>03.16.03  Services de systèmes externes</w:t>
            </w:r>
          </w:p>
        </w:tc>
        <w:tc>
          <w:tcPr>
            <w:tcW w:type="dxa" w:w="3360"/>
          </w:tcPr>
          <w:p>
            <w:r/>
            <w:r>
              <w:rPr>
                <w:rFonts w:ascii="Arial" w:hAnsi="Arial"/>
                <w:b w:val="0"/>
                <w:sz w:val="20"/>
              </w:rPr>
              <w:t>PS-1, PS-4 — exigences et conformité des fournisseurs</w:t>
            </w:r>
          </w:p>
        </w:tc>
        <w:tc>
          <w:tcPr>
            <w:tcW w:type="dxa" w:w="3360"/>
          </w:tcPr>
          <w:p>
            <w:r/>
            <w:r>
              <w:rPr>
                <w:rFonts w:ascii="Arial" w:hAnsi="Arial"/>
                <w:b w:val="0"/>
                <w:sz w:val="20"/>
              </w:rPr>
              <w:t>Exigences contractuelles; attestations des fournisseurs</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