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d'audit et de responsabilisation</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d'audit et de responsabilisation</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génère, protège, examine et conserve les enregistrements d'audit (journaux) pour les systèmes qui traitent, stockent ou transmettent de l'information contrôlée non classifiée (CUI). Des journaux fiables et résistants à l'altération sont essentiels pour détecter les incidents, responsabiliser les personnes, soutenir les enquêtes et démontrer la conformité. En définissant ce qui est journalisé, comment les journaux sont protégés et comment ils sont examinés, cette politique garantit que les événements significatifs peuvent être reconstitués et que l'activité malveillante ne passe pas inaperçue.</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systèmes détenus, exploités ou gérés par [Nom de l'organisation] qui traitent, stockent ou transmettent des CUI : serveurs, postes, équipements réseau, services infonuagiques et applications.</w:t>
      </w:r>
    </w:p>
    <w:p>
      <w:pPr>
        <w:ind w:left="360"/>
      </w:pPr>
      <w:r>
        <w:rPr>
          <w:rFonts w:ascii="Arial" w:hAnsi="Arial"/>
          <w:sz w:val="21"/>
        </w:rPr>
        <w:t>•  Tous les composants capables de générer des enregistrements d'audit, y compris fournisseurs d'identité, pare-feu, EDR et plateformes infonuagiques.</w:t>
      </w:r>
    </w:p>
    <w:p>
      <w:pPr>
        <w:ind w:left="360"/>
      </w:pPr>
      <w:r>
        <w:rPr>
          <w:rFonts w:ascii="Arial" w:hAnsi="Arial"/>
          <w:sz w:val="21"/>
        </w:rPr>
        <w:t>•  Tout le personnel responsable de configurer, exploiter, examiner ou protéger les journaux.</w:t>
      </w:r>
    </w:p>
    <w:p>
      <w:r>
        <w:rPr>
          <w:rFonts w:ascii="Arial" w:hAnsi="Arial"/>
          <w:sz w:val="21"/>
        </w:rPr>
        <w:t>Lorsque des CUI sont en cause, les exigences de journalisation sont obligatoires et prévalent sur la commodité ou les coûts de stockage.</w:t>
      </w:r>
    </w:p>
    <w:p>
      <w:pPr>
        <w:spacing w:before="200" w:after="80"/>
      </w:pPr>
      <w:r>
        <w:rPr>
          <w:rFonts w:ascii="Arial" w:hAnsi="Arial"/>
          <w:b/>
          <w:color w:val="2E5FA3"/>
          <w:sz w:val="26"/>
        </w:rPr>
        <w:t>3.  Définitions</w:t>
      </w:r>
    </w:p>
    <w:p>
      <w:r>
        <w:rPr>
          <w:rFonts w:ascii="Arial" w:hAnsi="Arial"/>
          <w:b/>
          <w:sz w:val="21"/>
        </w:rPr>
        <w:t xml:space="preserve">Enregistrement d'audit (journal): </w:t>
      </w:r>
      <w:r>
        <w:rPr>
          <w:rFonts w:ascii="Arial" w:hAnsi="Arial"/>
          <w:sz w:val="21"/>
        </w:rPr>
        <w:t>Un enregistrement horodaté d'un événement sur un système (ouverture de session, changement de configuration, accès à un fichier).</w:t>
      </w:r>
    </w:p>
    <w:p>
      <w:r>
        <w:rPr>
          <w:rFonts w:ascii="Arial" w:hAnsi="Arial"/>
          <w:b/>
          <w:sz w:val="21"/>
        </w:rPr>
        <w:t xml:space="preserve">Événement vérifiable: </w:t>
      </w:r>
      <w:r>
        <w:rPr>
          <w:rFonts w:ascii="Arial" w:hAnsi="Arial"/>
          <w:sz w:val="21"/>
        </w:rPr>
        <w:t>Un événement que l'organisation a décidé pertinent pour la sécurité et devant être journalisé.</w:t>
      </w:r>
    </w:p>
    <w:p>
      <w:r>
        <w:rPr>
          <w:rFonts w:ascii="Arial" w:hAnsi="Arial"/>
          <w:b/>
          <w:sz w:val="21"/>
        </w:rPr>
        <w:t xml:space="preserve">Source de journaux: </w:t>
      </w:r>
      <w:r>
        <w:rPr>
          <w:rFonts w:ascii="Arial" w:hAnsi="Arial"/>
          <w:sz w:val="21"/>
        </w:rPr>
        <w:t>Tout système ou composant qui produit des enregistrements d'audit.</w:t>
      </w:r>
    </w:p>
    <w:p>
      <w:r>
        <w:rPr>
          <w:rFonts w:ascii="Arial" w:hAnsi="Arial"/>
          <w:b/>
          <w:sz w:val="21"/>
        </w:rPr>
        <w:t xml:space="preserve">SIEM: </w:t>
      </w:r>
      <w:r>
        <w:rPr>
          <w:rFonts w:ascii="Arial" w:hAnsi="Arial"/>
          <w:sz w:val="21"/>
        </w:rPr>
        <w:t>Plateforme centrale qui agrège, corrèle et alerte sur les journaux de nombreuses sources.</w:t>
      </w:r>
    </w:p>
    <w:p>
      <w:r>
        <w:rPr>
          <w:rFonts w:ascii="Arial" w:hAnsi="Arial"/>
          <w:b/>
          <w:sz w:val="21"/>
        </w:rPr>
        <w:t xml:space="preserve">Synchronisation temporelle: </w:t>
      </w:r>
      <w:r>
        <w:rPr>
          <w:rFonts w:ascii="Arial" w:hAnsi="Arial"/>
          <w:sz w:val="21"/>
        </w:rPr>
        <w:t>Maintenir les horloges alignées sur une source de temps autoritative pour corréler les événements entre systèmes.</w:t>
      </w:r>
    </w:p>
    <w:p>
      <w:r>
        <w:rPr>
          <w:rFonts w:ascii="Arial" w:hAnsi="Arial"/>
          <w:b/>
          <w:sz w:val="21"/>
        </w:rPr>
        <w:t xml:space="preserve">Intégrité des journaux: </w:t>
      </w:r>
      <w:r>
        <w:rPr>
          <w:rFonts w:ascii="Arial" w:hAnsi="Arial"/>
          <w:sz w:val="21"/>
        </w:rPr>
        <w:t>Assurance que les enregistrements d'audit n'ont pas été altérés ou supprimés depuis leur création.</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définir les événements vérifiables; assurer la revue et la conservation; signaler les constats à la direction.</w:t>
            </w:r>
          </w:p>
        </w:tc>
      </w:tr>
      <w:tr>
        <w:tc>
          <w:tcPr>
            <w:tcW w:type="dxa" w:w="5040"/>
          </w:tcPr>
          <w:p>
            <w:r/>
            <w:r>
              <w:rPr>
                <w:rFonts w:ascii="Arial" w:hAnsi="Arial"/>
                <w:b w:val="0"/>
                <w:sz w:val="20"/>
              </w:rPr>
              <w:t>[Administrateur système]</w:t>
            </w:r>
          </w:p>
        </w:tc>
        <w:tc>
          <w:tcPr>
            <w:tcW w:type="dxa" w:w="5040"/>
          </w:tcPr>
          <w:p>
            <w:r/>
            <w:r>
              <w:rPr>
                <w:rFonts w:ascii="Arial" w:hAnsi="Arial"/>
                <w:b w:val="0"/>
                <w:sz w:val="20"/>
              </w:rPr>
              <w:t>Activer et configurer la journalisation; acheminer les journaux au dépôt central; maintenir la synchronisation temporelle; répondre aux défaillances.</w:t>
            </w:r>
          </w:p>
        </w:tc>
      </w:tr>
      <w:tr>
        <w:tc>
          <w:tcPr>
            <w:tcW w:type="dxa" w:w="5040"/>
          </w:tcPr>
          <w:p>
            <w:r/>
            <w:r>
              <w:rPr>
                <w:rFonts w:ascii="Arial" w:hAnsi="Arial"/>
                <w:b w:val="0"/>
                <w:sz w:val="20"/>
              </w:rPr>
              <w:t>[Analyste / Réviseur de sécurité]</w:t>
            </w:r>
          </w:p>
        </w:tc>
        <w:tc>
          <w:tcPr>
            <w:tcW w:type="dxa" w:w="5040"/>
          </w:tcPr>
          <w:p>
            <w:r/>
            <w:r>
              <w:rPr>
                <w:rFonts w:ascii="Arial" w:hAnsi="Arial"/>
                <w:b w:val="0"/>
                <w:sz w:val="20"/>
              </w:rPr>
              <w:t>Examiner et analyser les journaux et alertes; enquêter sur les anomalies; documenter et escalader les incidents.</w:t>
            </w:r>
          </w:p>
        </w:tc>
      </w:tr>
      <w:tr>
        <w:tc>
          <w:tcPr>
            <w:tcW w:type="dxa" w:w="5040"/>
          </w:tcPr>
          <w:p>
            <w:r/>
            <w:r>
              <w:rPr>
                <w:rFonts w:ascii="Arial" w:hAnsi="Arial"/>
                <w:b w:val="0"/>
                <w:sz w:val="20"/>
              </w:rPr>
              <w:t>Tous les utilisateurs</w:t>
            </w:r>
          </w:p>
        </w:tc>
        <w:tc>
          <w:tcPr>
            <w:tcW w:type="dxa" w:w="5040"/>
          </w:tcPr>
          <w:p>
            <w:r/>
            <w:r>
              <w:rPr>
                <w:rFonts w:ascii="Arial" w:hAnsi="Arial"/>
                <w:b w:val="0"/>
                <w:sz w:val="20"/>
              </w:rPr>
              <w:t>Ne pas désactiver la journalisation ni altérer les journaux; signaler toute altération ou événement de sécurité soupçonné.</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fournir les outils et le stockage;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Définir les événements vérifiables</w:t>
      </w:r>
    </w:p>
    <w:p>
      <w:r>
        <w:rPr>
          <w:rFonts w:ascii="Arial" w:hAnsi="Arial"/>
          <w:sz w:val="21"/>
        </w:rPr>
        <w:t>[Nom de l'organisation] doit définir, documenter et tenir à jour la liste des événements vérifiables pour chaque système contenant des CUI. Au minimum : ouvertures de session réussies et échouées, changements de comptes et de privilèges, accès aux CUI, changements de configuration de sécurité, utilisation de fonctions privilégiées et alertes des outils de sécurité. La liste doit être révisée [au moins annuellement].</w:t>
      </w:r>
    </w:p>
    <w:p>
      <w:r>
        <w:rPr>
          <w:rFonts w:ascii="Arial" w:hAnsi="Arial"/>
          <w:b/>
          <w:color w:val="2E5FA3"/>
          <w:sz w:val="21"/>
        </w:rPr>
        <w:t>PS-2  Contenu des enregistrements d'audit</w:t>
      </w:r>
    </w:p>
    <w:p>
      <w:r>
        <w:rPr>
          <w:rFonts w:ascii="Arial" w:hAnsi="Arial"/>
          <w:sz w:val="21"/>
        </w:rPr>
        <w:t>Chaque enregistrement doit comporter assez de détails pour reconstituer l'événement : type d'événement, moment (date et heure), emplacement (système/source), source (utilisateur ou processus) et résultat (succès/échec). Le contexte additionnel (p. ex. ressource touchée) doit être consigné lorsque disponible.</w:t>
      </w:r>
    </w:p>
    <w:p>
      <w:r>
        <w:rPr>
          <w:rFonts w:ascii="Arial" w:hAnsi="Arial"/>
          <w:b/>
          <w:color w:val="2E5FA3"/>
          <w:sz w:val="21"/>
        </w:rPr>
        <w:t>PS-3  Génération des enregistrements</w:t>
      </w:r>
    </w:p>
    <w:p>
      <w:r>
        <w:rPr>
          <w:rFonts w:ascii="Arial" w:hAnsi="Arial"/>
          <w:sz w:val="21"/>
        </w:rPr>
        <w:t>La journalisation doit être activée sur tous les systèmes et composants visés pour les événements définis. Elle doit être activée par défaut dans les configurations de référence et ne pas être désactivée sans approbation documentée du propriétaire de la politique.</w:t>
      </w:r>
    </w:p>
    <w:p>
      <w:r>
        <w:rPr>
          <w:rFonts w:ascii="Arial" w:hAnsi="Arial"/>
          <w:b/>
          <w:color w:val="2E5FA3"/>
          <w:sz w:val="21"/>
        </w:rPr>
        <w:t>PS-4  Synchronisation temporelle et horodatage</w:t>
      </w:r>
    </w:p>
    <w:p>
      <w:r>
        <w:rPr>
          <w:rFonts w:ascii="Arial" w:hAnsi="Arial"/>
          <w:sz w:val="21"/>
        </w:rPr>
        <w:t>Tous les systèmes visés doivent synchroniser leurs horloges sur une source de temps interne autoritative, elle-même synchronisée sur une source externe de confiance (p. ex. hiérarchie NTP). Les enregistrements doivent utiliser des horodatages exacts à la seconde, dans un fuseau cohérent (UTC recommandé), pour corréler les événements entre systèmes.</w:t>
      </w:r>
    </w:p>
    <w:p>
      <w:r>
        <w:rPr>
          <w:rFonts w:ascii="Arial" w:hAnsi="Arial"/>
          <w:b/>
          <w:color w:val="2E5FA3"/>
          <w:sz w:val="21"/>
        </w:rPr>
        <w:t>PS-5  Collecte centralisée</w:t>
      </w:r>
    </w:p>
    <w:p>
      <w:r>
        <w:rPr>
          <w:rFonts w:ascii="Arial" w:hAnsi="Arial"/>
          <w:sz w:val="21"/>
        </w:rPr>
        <w:t>Les journaux pertinents pour la sécurité doivent être acheminés de leurs sources vers un dépôt central ou un SIEM synchronisé. La centralisation protège les journaux contre l'altération locale, permet la corrélation et soutient la conservation.</w:t>
      </w:r>
    </w:p>
    <w:p>
      <w:r>
        <w:rPr>
          <w:rFonts w:ascii="Arial" w:hAnsi="Arial"/>
          <w:b/>
          <w:color w:val="2E5FA3"/>
          <w:sz w:val="21"/>
        </w:rPr>
        <w:t>PS-6  Protection de l'information d'audit</w:t>
      </w:r>
    </w:p>
    <w:p>
      <w:r>
        <w:rPr>
          <w:rFonts w:ascii="Arial" w:hAnsi="Arial"/>
          <w:sz w:val="21"/>
        </w:rPr>
        <w:t>Les enregistrements et les outils d'audit doivent être protégés contre l'accès, la modification et la suppression non autorisés. L'accès aux journaux doit être restreint aux rôles autorisés selon le besoin de savoir, l'accès en écriture/suppression strictement limité, et des contrôles d'intégrité (stockage à écriture unique, hachage ou journalisation des accès au dépôt) appliqués.</w:t>
      </w:r>
    </w:p>
    <w:p>
      <w:r>
        <w:rPr>
          <w:rFonts w:ascii="Arial" w:hAnsi="Arial"/>
          <w:b/>
          <w:color w:val="2E5FA3"/>
          <w:sz w:val="21"/>
        </w:rPr>
        <w:t>PS-7  Réponse aux défaillances de journalisation</w:t>
      </w:r>
    </w:p>
    <w:p>
      <w:r>
        <w:rPr>
          <w:rFonts w:ascii="Arial" w:hAnsi="Arial"/>
          <w:sz w:val="21"/>
        </w:rPr>
        <w:t>Les systèmes doivent alerter le personnel désigné en cas de défaillance de la journalisation (source qui cesse de rapporter, stockage épuisé). L'organisation doit définir la réponse — au minimum alerter et enquêter — et rétablir la journalisation rapidement.</w:t>
      </w:r>
    </w:p>
    <w:p>
      <w:r>
        <w:rPr>
          <w:rFonts w:ascii="Arial" w:hAnsi="Arial"/>
          <w:b/>
          <w:color w:val="2E5FA3"/>
          <w:sz w:val="21"/>
        </w:rPr>
        <w:t>PS-8  Capacité de stockage des journaux</w:t>
      </w:r>
    </w:p>
    <w:p>
      <w:r>
        <w:rPr>
          <w:rFonts w:ascii="Arial" w:hAnsi="Arial"/>
          <w:sz w:val="21"/>
        </w:rPr>
        <w:t>Un stockage suffisant doit être alloué pour respecter la durée de conservation, et l'utilisation surveillée afin que la journalisation ne soit pas interrompue par un dépôt plein.</w:t>
      </w:r>
    </w:p>
    <w:p>
      <w:r>
        <w:rPr>
          <w:rFonts w:ascii="Arial" w:hAnsi="Arial"/>
          <w:b/>
          <w:color w:val="2E5FA3"/>
          <w:sz w:val="21"/>
        </w:rPr>
        <w:t>PS-9  Revue, analyse et rapports</w:t>
      </w:r>
    </w:p>
    <w:p>
      <w:r>
        <w:rPr>
          <w:rFonts w:ascii="Arial" w:hAnsi="Arial"/>
          <w:sz w:val="21"/>
        </w:rPr>
        <w:t>Les journaux et alertes doivent être examinés et analysés [défini par l'organisation : au moins hebdomadairement, et sur alerte; recommandé : alerte continue avec revue hebdomadaire] pour détecter toute activité inappropriée ou inhabituelle. Les constats doivent être documentés et les événements confirmés traités selon la Politique de réponse aux incidents.</w:t>
      </w:r>
    </w:p>
    <w:p>
      <w:r>
        <w:rPr>
          <w:rFonts w:ascii="Arial" w:hAnsi="Arial"/>
          <w:b/>
          <w:color w:val="2E5FA3"/>
          <w:sz w:val="21"/>
        </w:rPr>
        <w:t>PS-10  Alerte et corrélation</w:t>
      </w:r>
    </w:p>
    <w:p>
      <w:r>
        <w:rPr>
          <w:rFonts w:ascii="Arial" w:hAnsi="Arial"/>
          <w:sz w:val="21"/>
        </w:rPr>
        <w:t>Lorsqu'un SIEM est disponible, des règles de corrélation et des alertes doivent viser les schémas à risque élevé (échecs d'authentification répétés, élévation de privilèges, accès/suppression massifs, outils de sécurité désactivés). Les alertes doivent aboutir à une file surveillée.</w:t>
      </w:r>
    </w:p>
    <w:p>
      <w:r>
        <w:rPr>
          <w:rFonts w:ascii="Arial" w:hAnsi="Arial"/>
          <w:b/>
          <w:color w:val="2E5FA3"/>
          <w:sz w:val="21"/>
        </w:rPr>
        <w:t>PS-11  Conservation des journaux</w:t>
      </w:r>
    </w:p>
    <w:p>
      <w:r>
        <w:rPr>
          <w:rFonts w:ascii="Arial" w:hAnsi="Arial"/>
          <w:sz w:val="21"/>
        </w:rPr>
        <w:t>Les enregistrements doivent être conservés [défini par l'organisation : au moins 12 mois en ligne et 90 jours immédiatement accessibles; recommandé : 12 mois, alignés aux exigences contractuelles/CMMC] pour soutenir les enquêtes a posteriori, puis éliminés de façon sécurisée.</w:t>
      </w:r>
    </w:p>
    <w:p>
      <w:r>
        <w:rPr>
          <w:rFonts w:ascii="Arial" w:hAnsi="Arial"/>
          <w:b/>
          <w:color w:val="2E5FA3"/>
          <w:sz w:val="21"/>
        </w:rPr>
        <w:t>PS-12  Journalisation de l'activité privilégiée</w:t>
      </w:r>
    </w:p>
    <w:p>
      <w:r>
        <w:rPr>
          <w:rFonts w:ascii="Arial" w:hAnsi="Arial"/>
          <w:sz w:val="21"/>
        </w:rPr>
        <w:t>Toutes les actions des comptes privilégiés/administrateurs, y compris l'utilisation de fonctions privilégiées, doivent être journalisées et examinées avec une attention particulière vu leur risque élevé.</w:t>
      </w:r>
    </w:p>
    <w:p>
      <w:pPr>
        <w:spacing w:before="200" w:after="80"/>
      </w:pPr>
      <w:r>
        <w:rPr>
          <w:rFonts w:ascii="Arial" w:hAnsi="Arial"/>
          <w:b/>
          <w:color w:val="2E5FA3"/>
          <w:sz w:val="26"/>
        </w:rPr>
        <w:t>6.  Procédures et preuves d'audit</w:t>
      </w:r>
    </w:p>
    <w:p>
      <w:r>
        <w:rPr>
          <w:rFonts w:ascii="Arial" w:hAnsi="Arial"/>
          <w:sz w:val="21"/>
        </w:rPr>
        <w:t>6.1  Configuration de la journalisation</w:t>
      </w:r>
    </w:p>
    <w:p>
      <w:pPr>
        <w:ind w:left="360"/>
      </w:pPr>
      <w:r>
        <w:rPr>
          <w:rFonts w:ascii="Arial" w:hAnsi="Arial"/>
          <w:sz w:val="21"/>
        </w:rPr>
        <w:t>•  Définir les événements vérifiables; les encoder dans les configurations de référence (GPO/GAM/config).</w:t>
      </w:r>
    </w:p>
    <w:p>
      <w:pPr>
        <w:ind w:left="360"/>
      </w:pPr>
      <w:r>
        <w:rPr>
          <w:rFonts w:ascii="Arial" w:hAnsi="Arial"/>
          <w:sz w:val="21"/>
        </w:rPr>
        <w:t>•  Activer la journalisation sur chaque système visé et l'acheminer au dépôt central/SIEM.</w:t>
      </w:r>
    </w:p>
    <w:p>
      <w:pPr>
        <w:ind w:left="360"/>
      </w:pPr>
      <w:r>
        <w:rPr>
          <w:rFonts w:ascii="Arial" w:hAnsi="Arial"/>
          <w:sz w:val="21"/>
        </w:rPr>
        <w:t>•  Configurer la synchronisation temporelle sur la source approuvée.</w:t>
      </w:r>
    </w:p>
    <w:p>
      <w:r>
        <w:rPr>
          <w:rFonts w:ascii="Arial" w:hAnsi="Arial"/>
          <w:b/>
          <w:sz w:val="21"/>
        </w:rPr>
        <w:t xml:space="preserve">Preuves d'audit : </w:t>
      </w:r>
      <w:r>
        <w:rPr>
          <w:rFonts w:ascii="Arial" w:hAnsi="Arial"/>
          <w:sz w:val="21"/>
        </w:rPr>
        <w:t>Norme de journalisation / liste des événements (datée); configurations de référence; inventaire des sources SIEM; configuration NTP.</w:t>
      </w:r>
    </w:p>
    <w:p>
      <w:r>
        <w:rPr>
          <w:rFonts w:ascii="Arial" w:hAnsi="Arial"/>
          <w:sz w:val="21"/>
        </w:rPr>
        <w:t>6.2  Revue et réponse</w:t>
      </w:r>
    </w:p>
    <w:p>
      <w:pPr>
        <w:ind w:left="360"/>
      </w:pPr>
      <w:r>
        <w:rPr>
          <w:rFonts w:ascii="Arial" w:hAnsi="Arial"/>
          <w:sz w:val="21"/>
        </w:rPr>
        <w:t>•  Les réviseurs analysent les alertes en continu et effectuent une revue documentée [hebdomadaire].</w:t>
      </w:r>
    </w:p>
    <w:p>
      <w:pPr>
        <w:ind w:left="360"/>
      </w:pPr>
      <w:r>
        <w:rPr>
          <w:rFonts w:ascii="Arial" w:hAnsi="Arial"/>
          <w:sz w:val="21"/>
        </w:rPr>
        <w:t>•  Les défaillances génèrent des alertes; les administrateurs rétablissent la journalisation et consignent la cause et la résolution.</w:t>
      </w:r>
    </w:p>
    <w:p>
      <w:pPr>
        <w:ind w:left="360"/>
      </w:pPr>
      <w:r>
        <w:rPr>
          <w:rFonts w:ascii="Arial" w:hAnsi="Arial"/>
          <w:sz w:val="21"/>
        </w:rPr>
        <w:t>•  Les événements confirmés sont escaladés à la réponse aux incidents.</w:t>
      </w:r>
    </w:p>
    <w:p>
      <w:r>
        <w:rPr>
          <w:rFonts w:ascii="Arial" w:hAnsi="Arial"/>
          <w:b/>
          <w:sz w:val="21"/>
        </w:rPr>
        <w:t xml:space="preserve">Preuves d'audit : </w:t>
      </w:r>
      <w:r>
        <w:rPr>
          <w:rFonts w:ascii="Arial" w:hAnsi="Arial"/>
          <w:sz w:val="21"/>
        </w:rPr>
        <w:t>Registres de revue datés; billets d'alerte/triage; dossiers de défaillance; liste des règles de corrélation.</w:t>
      </w:r>
    </w:p>
    <w:p>
      <w:r>
        <w:rPr>
          <w:rFonts w:ascii="Arial" w:hAnsi="Arial"/>
          <w:sz w:val="21"/>
        </w:rPr>
        <w:t>6.3  Protection et conservation</w:t>
      </w:r>
    </w:p>
    <w:p>
      <w:pPr>
        <w:ind w:left="360"/>
      </w:pPr>
      <w:r>
        <w:rPr>
          <w:rFonts w:ascii="Arial" w:hAnsi="Arial"/>
          <w:sz w:val="21"/>
        </w:rPr>
        <w:t>•  Restreindre et journaliser l'accès au dépôt; appliquer une protection d'intégrité (écriture unique / hachage).</w:t>
      </w:r>
    </w:p>
    <w:p>
      <w:pPr>
        <w:ind w:left="360"/>
      </w:pPr>
      <w:r>
        <w:rPr>
          <w:rFonts w:ascii="Arial" w:hAnsi="Arial"/>
          <w:sz w:val="21"/>
        </w:rPr>
        <w:t>•  Surveiller la capacité; conserver les enregistrements pour la durée définie; éliminer de façon sécurisée.</w:t>
      </w:r>
    </w:p>
    <w:p>
      <w:r>
        <w:rPr>
          <w:rFonts w:ascii="Arial" w:hAnsi="Arial"/>
          <w:b/>
          <w:sz w:val="21"/>
        </w:rPr>
        <w:t xml:space="preserve">Preuves d'audit : </w:t>
      </w:r>
      <w:r>
        <w:rPr>
          <w:rFonts w:ascii="Arial" w:hAnsi="Arial"/>
          <w:sz w:val="21"/>
        </w:rPr>
        <w:t>Contrôles d'accès et journaux d'accès au dépôt; configuration de conservation; surveillance de la capacité; registres d'élimination.</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systèmes visés journalisent les événements définis, que les revues ont lieu, et que les contrôles de conservation et de protection fonctionnent.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Plan de sécurité du système (SSP) — inventaire, catégories de CUI et mise en œuvre des contrôles.</w:t>
      </w:r>
    </w:p>
    <w:p>
      <w:pPr>
        <w:ind w:left="360"/>
      </w:pPr>
      <w:r>
        <w:rPr>
          <w:rFonts w:ascii="Arial" w:hAnsi="Arial"/>
          <w:sz w:val="21"/>
        </w:rPr>
        <w:t>•  Politique de réponse aux incidents — traitement des événements détectés par la revue.</w:t>
      </w:r>
    </w:p>
    <w:p>
      <w:pPr>
        <w:ind w:left="360"/>
      </w:pPr>
      <w:r>
        <w:rPr>
          <w:rFonts w:ascii="Arial" w:hAnsi="Arial"/>
          <w:sz w:val="21"/>
        </w:rPr>
        <w:t>•  Politique de contrôle d'accès — contrôles de comptes et d'accès privilégiés que les journaux enregistrent.</w:t>
      </w:r>
    </w:p>
    <w:p>
      <w:pPr>
        <w:ind w:left="360"/>
      </w:pPr>
      <w:r>
        <w:rPr>
          <w:rFonts w:ascii="Arial" w:hAnsi="Arial"/>
          <w:sz w:val="21"/>
        </w:rPr>
        <w:t>•  Politique de gestion de la configuration — configurations de référence activant la journalisation et la synchronisation.</w:t>
      </w:r>
    </w:p>
    <w:p>
      <w:pPr>
        <w:ind w:left="360"/>
      </w:pPr>
      <w:r>
        <w:rPr>
          <w:rFonts w:ascii="Arial" w:hAnsi="Arial"/>
          <w:sz w:val="21"/>
        </w:rPr>
        <w:t>•  Politique d'intégrité des systèmes et de l'information — surveillance et alertes qui consomment les données d'audit.</w:t>
      </w:r>
    </w:p>
    <w:p>
      <w:pPr>
        <w:spacing w:before="200" w:after="80"/>
      </w:pPr>
      <w:r>
        <w:rPr>
          <w:rFonts w:ascii="Arial" w:hAnsi="Arial"/>
          <w:b/>
          <w:color w:val="2E5FA3"/>
          <w:sz w:val="26"/>
        </w:rPr>
        <w:t>10.  Correspondance des contrôles</w:t>
      </w:r>
    </w:p>
    <w:p>
      <w:r>
        <w:rPr>
          <w:rFonts w:ascii="Arial" w:hAnsi="Arial"/>
          <w:sz w:val="21"/>
        </w:rPr>
        <w:t>Le tableau ci-dessous fait correspondre chaque contrôle requis aux énoncés de politique qui le satisfont et aux preuves recherchées. Les identifiants proviennent du NIST SP 800-171 Rev 3 (famille 03.03);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03.03.01  Journalisation des événements</w:t>
            </w:r>
          </w:p>
        </w:tc>
        <w:tc>
          <w:tcPr>
            <w:tcW w:type="dxa" w:w="3360"/>
          </w:tcPr>
          <w:p>
            <w:r/>
            <w:r>
              <w:rPr>
                <w:rFonts w:ascii="Arial" w:hAnsi="Arial"/>
                <w:b w:val="0"/>
                <w:sz w:val="20"/>
              </w:rPr>
              <w:t>PS-1, PS-3 — événements définis; journalisation activée</w:t>
            </w:r>
          </w:p>
        </w:tc>
        <w:tc>
          <w:tcPr>
            <w:tcW w:type="dxa" w:w="3360"/>
          </w:tcPr>
          <w:p>
            <w:r/>
            <w:r>
              <w:rPr>
                <w:rFonts w:ascii="Arial" w:hAnsi="Arial"/>
                <w:b w:val="0"/>
                <w:sz w:val="20"/>
              </w:rPr>
              <w:t>Liste des événements; configs de référence; inventaire SIEM</w:t>
            </w:r>
          </w:p>
        </w:tc>
      </w:tr>
      <w:tr>
        <w:tc>
          <w:tcPr>
            <w:tcW w:type="dxa" w:w="3360"/>
          </w:tcPr>
          <w:p>
            <w:r/>
            <w:r>
              <w:rPr>
                <w:rFonts w:ascii="Arial" w:hAnsi="Arial"/>
                <w:b w:val="0"/>
                <w:sz w:val="20"/>
              </w:rPr>
              <w:t>03.03.02  Contenu des enregistrements</w:t>
            </w:r>
          </w:p>
        </w:tc>
        <w:tc>
          <w:tcPr>
            <w:tcW w:type="dxa" w:w="3360"/>
          </w:tcPr>
          <w:p>
            <w:r/>
            <w:r>
              <w:rPr>
                <w:rFonts w:ascii="Arial" w:hAnsi="Arial"/>
                <w:b w:val="0"/>
                <w:sz w:val="20"/>
              </w:rPr>
              <w:t>PS-2 — contenu (qui/quoi/quand/où/résultat)</w:t>
            </w:r>
          </w:p>
        </w:tc>
        <w:tc>
          <w:tcPr>
            <w:tcW w:type="dxa" w:w="3360"/>
          </w:tcPr>
          <w:p>
            <w:r/>
            <w:r>
              <w:rPr>
                <w:rFonts w:ascii="Arial" w:hAnsi="Arial"/>
                <w:b w:val="0"/>
                <w:sz w:val="20"/>
              </w:rPr>
              <w:t>Exemples d'enregistrements montrant les champs requis</w:t>
            </w:r>
          </w:p>
        </w:tc>
      </w:tr>
      <w:tr>
        <w:tc>
          <w:tcPr>
            <w:tcW w:type="dxa" w:w="3360"/>
          </w:tcPr>
          <w:p>
            <w:r/>
            <w:r>
              <w:rPr>
                <w:rFonts w:ascii="Arial" w:hAnsi="Arial"/>
                <w:b w:val="0"/>
                <w:sz w:val="20"/>
              </w:rPr>
              <w:t>03.03.03  Génération des enregistrements</w:t>
            </w:r>
          </w:p>
        </w:tc>
        <w:tc>
          <w:tcPr>
            <w:tcW w:type="dxa" w:w="3360"/>
          </w:tcPr>
          <w:p>
            <w:r/>
            <w:r>
              <w:rPr>
                <w:rFonts w:ascii="Arial" w:hAnsi="Arial"/>
                <w:b w:val="0"/>
                <w:sz w:val="20"/>
              </w:rPr>
              <w:t>PS-3, PS-12 — génération sur toutes les sources; activité privilégiée</w:t>
            </w:r>
          </w:p>
        </w:tc>
        <w:tc>
          <w:tcPr>
            <w:tcW w:type="dxa" w:w="3360"/>
          </w:tcPr>
          <w:p>
            <w:r/>
            <w:r>
              <w:rPr>
                <w:rFonts w:ascii="Arial" w:hAnsi="Arial"/>
                <w:b w:val="0"/>
                <w:sz w:val="20"/>
              </w:rPr>
              <w:t>Configuration de journalisation; journaux des actions privilégiées</w:t>
            </w:r>
          </w:p>
        </w:tc>
      </w:tr>
      <w:tr>
        <w:tc>
          <w:tcPr>
            <w:tcW w:type="dxa" w:w="3360"/>
          </w:tcPr>
          <w:p>
            <w:r/>
            <w:r>
              <w:rPr>
                <w:rFonts w:ascii="Arial" w:hAnsi="Arial"/>
                <w:b w:val="0"/>
                <w:sz w:val="20"/>
              </w:rPr>
              <w:t>03.03.04  Réponse aux défaillances de journalisation</w:t>
            </w:r>
          </w:p>
        </w:tc>
        <w:tc>
          <w:tcPr>
            <w:tcW w:type="dxa" w:w="3360"/>
          </w:tcPr>
          <w:p>
            <w:r/>
            <w:r>
              <w:rPr>
                <w:rFonts w:ascii="Arial" w:hAnsi="Arial"/>
                <w:b w:val="0"/>
                <w:sz w:val="20"/>
              </w:rPr>
              <w:t>PS-7, PS-8 — alerte et réponse; capacité</w:t>
            </w:r>
          </w:p>
        </w:tc>
        <w:tc>
          <w:tcPr>
            <w:tcW w:type="dxa" w:w="3360"/>
          </w:tcPr>
          <w:p>
            <w:r/>
            <w:r>
              <w:rPr>
                <w:rFonts w:ascii="Arial" w:hAnsi="Arial"/>
                <w:b w:val="0"/>
                <w:sz w:val="20"/>
              </w:rPr>
              <w:t>Alertes et billets de défaillance; surveillance de la capacité</w:t>
            </w:r>
          </w:p>
        </w:tc>
      </w:tr>
      <w:tr>
        <w:tc>
          <w:tcPr>
            <w:tcW w:type="dxa" w:w="3360"/>
          </w:tcPr>
          <w:p>
            <w:r/>
            <w:r>
              <w:rPr>
                <w:rFonts w:ascii="Arial" w:hAnsi="Arial"/>
                <w:b w:val="0"/>
                <w:sz w:val="20"/>
              </w:rPr>
              <w:t>03.03.05  Revue, analyse et rapports</w:t>
            </w:r>
          </w:p>
        </w:tc>
        <w:tc>
          <w:tcPr>
            <w:tcW w:type="dxa" w:w="3360"/>
          </w:tcPr>
          <w:p>
            <w:r/>
            <w:r>
              <w:rPr>
                <w:rFonts w:ascii="Arial" w:hAnsi="Arial"/>
                <w:b w:val="0"/>
                <w:sz w:val="20"/>
              </w:rPr>
              <w:t>PS-9, PS-10 — revue, analyse, alerte, corrélation</w:t>
            </w:r>
          </w:p>
        </w:tc>
        <w:tc>
          <w:tcPr>
            <w:tcW w:type="dxa" w:w="3360"/>
          </w:tcPr>
          <w:p>
            <w:r/>
            <w:r>
              <w:rPr>
                <w:rFonts w:ascii="Arial" w:hAnsi="Arial"/>
                <w:b w:val="0"/>
                <w:sz w:val="20"/>
              </w:rPr>
              <w:t>Registres de revue datés; billets d'alerte; règles de corrélation</w:t>
            </w:r>
          </w:p>
        </w:tc>
      </w:tr>
      <w:tr>
        <w:tc>
          <w:tcPr>
            <w:tcW w:type="dxa" w:w="3360"/>
          </w:tcPr>
          <w:p>
            <w:r/>
            <w:r>
              <w:rPr>
                <w:rFonts w:ascii="Arial" w:hAnsi="Arial"/>
                <w:b w:val="0"/>
                <w:sz w:val="20"/>
              </w:rPr>
              <w:t>03.03.06  Réduction des enregistrements et rapports</w:t>
            </w:r>
          </w:p>
        </w:tc>
        <w:tc>
          <w:tcPr>
            <w:tcW w:type="dxa" w:w="3360"/>
          </w:tcPr>
          <w:p>
            <w:r/>
            <w:r>
              <w:rPr>
                <w:rFonts w:ascii="Arial" w:hAnsi="Arial"/>
                <w:b w:val="0"/>
                <w:sz w:val="20"/>
              </w:rPr>
              <w:t>PS-5, PS-10 — SIEM centralisé; rapports</w:t>
            </w:r>
          </w:p>
        </w:tc>
        <w:tc>
          <w:tcPr>
            <w:tcW w:type="dxa" w:w="3360"/>
          </w:tcPr>
          <w:p>
            <w:r/>
            <w:r>
              <w:rPr>
                <w:rFonts w:ascii="Arial" w:hAnsi="Arial"/>
                <w:b w:val="0"/>
                <w:sz w:val="20"/>
              </w:rPr>
              <w:t>Rapports SIEM; preuve de capacité de recherche/rapport</w:t>
            </w:r>
          </w:p>
        </w:tc>
      </w:tr>
      <w:tr>
        <w:tc>
          <w:tcPr>
            <w:tcW w:type="dxa" w:w="3360"/>
          </w:tcPr>
          <w:p>
            <w:r/>
            <w:r>
              <w:rPr>
                <w:rFonts w:ascii="Arial" w:hAnsi="Arial"/>
                <w:b w:val="0"/>
                <w:sz w:val="20"/>
              </w:rPr>
              <w:t>03.03.07  Horodatage</w:t>
            </w:r>
          </w:p>
        </w:tc>
        <w:tc>
          <w:tcPr>
            <w:tcW w:type="dxa" w:w="3360"/>
          </w:tcPr>
          <w:p>
            <w:r/>
            <w:r>
              <w:rPr>
                <w:rFonts w:ascii="Arial" w:hAnsi="Arial"/>
                <w:b w:val="0"/>
                <w:sz w:val="20"/>
              </w:rPr>
              <w:t>PS-4 — horloges synchronisées; horodatage exact</w:t>
            </w:r>
          </w:p>
        </w:tc>
        <w:tc>
          <w:tcPr>
            <w:tcW w:type="dxa" w:w="3360"/>
          </w:tcPr>
          <w:p>
            <w:r/>
            <w:r>
              <w:rPr>
                <w:rFonts w:ascii="Arial" w:hAnsi="Arial"/>
                <w:b w:val="0"/>
                <w:sz w:val="20"/>
              </w:rPr>
              <w:t>Configuration NTP; exemples d'enregistrements horodatés</w:t>
            </w:r>
          </w:p>
        </w:tc>
      </w:tr>
      <w:tr>
        <w:tc>
          <w:tcPr>
            <w:tcW w:type="dxa" w:w="3360"/>
          </w:tcPr>
          <w:p>
            <w:r/>
            <w:r>
              <w:rPr>
                <w:rFonts w:ascii="Arial" w:hAnsi="Arial"/>
                <w:b w:val="0"/>
                <w:sz w:val="20"/>
              </w:rPr>
              <w:t>03.03.08  Protection de l'information d'audit</w:t>
            </w:r>
          </w:p>
        </w:tc>
        <w:tc>
          <w:tcPr>
            <w:tcW w:type="dxa" w:w="3360"/>
          </w:tcPr>
          <w:p>
            <w:r/>
            <w:r>
              <w:rPr>
                <w:rFonts w:ascii="Arial" w:hAnsi="Arial"/>
                <w:b w:val="0"/>
                <w:sz w:val="20"/>
              </w:rPr>
              <w:t>PS-6, PS-11 — protection, contrôle d'accès, conservation</w:t>
            </w:r>
          </w:p>
        </w:tc>
        <w:tc>
          <w:tcPr>
            <w:tcW w:type="dxa" w:w="3360"/>
          </w:tcPr>
          <w:p>
            <w:r/>
            <w:r>
              <w:rPr>
                <w:rFonts w:ascii="Arial" w:hAnsi="Arial"/>
                <w:b w:val="0"/>
                <w:sz w:val="20"/>
              </w:rPr>
              <w:t>Contrôles et journaux d'accès au dépôt; config d'intégrité/conservation</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