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1B3A6B"/>
          <w:sz w:val="56"/>
          <w:szCs w:val="56"/>
        </w:rPr>
        <w:t xml:space="preserve">EVA Comply</w:t>
      </w:r>
    </w:p>
    <w:p>
      <w:pPr>
        <w:spacing w:after="80"/>
      </w:pPr>
      <w:r>
        <w:rPr>
          <w:b/>
          <w:bCs/>
          <w:color w:val="2E5FA3"/>
          <w:sz w:val="34"/>
          <w:szCs w:val="34"/>
        </w:rPr>
        <w:t xml:space="preserve">Revue de sécurité — Rapport final</w:t>
      </w:r>
    </w:p>
    <w:p>
      <w:pPr>
        <w:pBdr>
          <w:bottom w:val="single" w:color="2E5FA3" w:sz="12" w:space="6"/>
        </w:pBdr>
        <w:spacing w:after="40"/>
      </w:pPr>
      <w:r>
        <w:rPr>
          <w:color w:val="555555"/>
          <w:sz w:val="23"/>
          <w:szCs w:val="23"/>
        </w:rPr>
        <w:t xml:space="preserve">OWASP Top 10 (2021) — après remédiation complète (correctifs élevés, moyens et faibles)</w:t>
      </w:r>
    </w:p>
    <w:p>
      <w:pPr>
        <w:spacing w:before="240"/>
      </w:pPr>
      <w:r>
        <w:rPr>
          <w:sz w:val="21"/>
          <w:szCs w:val="21"/>
        </w:rPr>
        <w:t xml:space="preserve">Date : 23 juin 2026  ·  Version 3 (remédiation complète)</w:t>
      </w:r>
    </w:p>
    <w:p>
      <w:r>
        <w:rPr>
          <w:sz w:val="21"/>
          <w:szCs w:val="21"/>
        </w:rPr>
        <w:t xml:space="preserve">Portée : code applicatif backend + configuration de déploiement (Docker, nginx, Caddy)</w:t>
      </w:r>
    </w:p>
    <w:p>
      <w:r>
        <w:rPr>
          <w:i/>
          <w:iCs/>
          <w:color w:val="777777"/>
          <w:sz w:val="21"/>
          <w:szCs w:val="21"/>
        </w:rPr>
        <w:t xml:space="preserve">Classification : Confidentiel — usage interne</w:t>
      </w:r>
    </w:p>
    <w:p>
      <w:r>
        <w:br w:type="page"/>
      </w:r>
    </w:p>
    <w:p>
      <w:pPr>
        <w:pStyle w:val="Heading1"/>
      </w:pPr>
      <w:r>
        <w:t xml:space="preserve">1. Résumé</w:t>
      </w:r>
    </w:p>
    <w:p>
      <w:pPr>
        <w:spacing w:after="140" w:line="276"/>
      </w:pPr>
      <w:r>
        <w:t xml:space="preserve">Ce rapport final fait le point après deux vagues de correctifs vérifiés dans le code. Il s’agit d’une revue de code statique — elle ne remplace pas le test d’intrusion par tierce partie accréditée requis pour la certification CMMC.</w:t>
      </w:r>
    </w:p>
    <w:p>
      <w:pPr>
        <w:spacing w:after="140" w:line="276"/>
      </w:pPr>
      <w:r>
        <w:rPr>
          <w:b/>
          <w:bCs/>
        </w:rPr>
        <w:t xml:space="preserve">Posture : excellente. </w:t>
      </w:r>
      <w:r>
        <w:t xml:space="preserve">Tous les constats élevés et moyens sont résolus, ainsi que les principaux points faibles. Sur les douze constats d’origine, onze sont entièrement résolus et un (SSRF) est durci avec un résidu mineur à fermer côté réseau. Aucun risque élevé ni moyen ne subsiste de façon exploitable.</w:t>
      </w:r>
    </w:p>
    <w:p>
      <w:pPr>
        <w:spacing w:after="140" w:line="276"/>
      </w:pPr>
      <w:r>
        <w:rPr>
          <w:b/>
          <w:bCs/>
        </w:rPr>
        <w:t xml:space="preserve">Reste : </w:t>
      </w:r>
      <w:r>
        <w:t xml:space="preserve">un résidu moyen (re-résolution DNS du connecteur IA, réservé au Super Admin, à fermer par une liste blanche de sortie réseau) et deux points faibles assumés/reportés (énumération inhérente au flux d’inscription ; migration de bibliothèque JWT — la vulnérabilité sous-jacente est déjà neutralisée).</w:t>
      </w:r>
    </w:p>
    <w:p>
      <w:pPr>
        <w:pStyle w:val="Heading2"/>
      </w:pPr>
      <w:r>
        <w:t xml:space="preserve">Posture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Élevé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Moyen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Faible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Constats résolus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0</w:t>
            </w:r>
          </w:p>
          <w:p>
            <w:pPr>
              <w:jc w:val="center"/>
            </w:pPr>
            <w:r>
              <w:rPr>
                <w:color w:val="555555"/>
                <w:sz w:val="16"/>
                <w:szCs w:val="16"/>
              </w:rPr>
              <w:t xml:space="preserve">(était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9770E"/>
                <w:sz w:val="36"/>
                <w:szCs w:val="36"/>
              </w:rPr>
              <w:t xml:space="preserve">1</w:t>
            </w:r>
          </w:p>
          <w:p>
            <w:pPr>
              <w:jc w:val="center"/>
            </w:pPr>
            <w:r>
              <w:rPr>
                <w:color w:val="555555"/>
                <w:sz w:val="16"/>
                <w:szCs w:val="16"/>
              </w:rPr>
              <w:t xml:space="preserve">résidu réseau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2</w:t>
            </w:r>
          </w:p>
          <w:p>
            <w:pPr>
              <w:jc w:val="center"/>
            </w:pPr>
            <w:r>
              <w:rPr>
                <w:color w:val="555555"/>
                <w:sz w:val="16"/>
                <w:szCs w:val="16"/>
              </w:rPr>
              <w:t xml:space="preserve">assumés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11</w:t>
            </w:r>
          </w:p>
          <w:p>
            <w:pPr>
              <w:jc w:val="center"/>
            </w:pPr>
            <w:r>
              <w:rPr>
                <w:color w:val="555555"/>
                <w:sz w:val="16"/>
                <w:szCs w:val="16"/>
              </w:rPr>
              <w:t xml:space="preserve">sur 12</w:t>
            </w:r>
          </w:p>
        </w:tc>
      </w:tr>
    </w:tbl>
    <w:p>
      <w:pPr>
        <w:spacing w:after="140" w:line="276"/>
      </w:pPr>
      <w:r>
        <w:t xml:space="preserve"/>
      </w:r>
    </w:p>
    <w:p>
      <w:pPr>
        <w:spacing w:after="140" w:line="276"/>
      </w:pPr>
      <w:r>
        <w:rPr>
          <w:b/>
          <w:bCs/>
        </w:rPr>
        <w:t xml:space="preserve">En clair : </w:t>
      </w:r>
      <w:r>
        <w:t xml:space="preserve">l’application n’a plus de faille élevée ou moyenne exploitable. Le dernier résidu moyen ne concerne qu’une fonction d’administration et se ferme proprement au niveau réseau (sortie restreinte), sans nouvelle modification de code.</w:t>
      </w:r>
    </w:p>
    <w:p>
      <w:pPr>
        <w:pStyle w:val="Heading1"/>
      </w:pPr>
      <w:r>
        <w:t xml:space="preserve">2. Statut des constats initiaux</w:t>
      </w:r>
    </w:p>
    <w:p>
      <w:pPr>
        <w:spacing w:after="140" w:line="276"/>
      </w:pPr>
      <w:r>
        <w:t xml:space="preserve">Vérification ligne par ligne dans le code. « RÉSOLU » = correctif en place et confirmé ; « PARTIEL » = correctif principal en place, résidu détaillé en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260"/>
        <w:gridCol w:w="1340"/>
        <w:gridCol w:w="1940"/>
      </w:tblGrid>
      <w:tr>
        <w:trPr>
          <w:tblHeader/>
        </w:trPr>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OWASP</w:t>
            </w:r>
          </w:p>
        </w:tc>
        <w:tc>
          <w:tcPr>
            <w:tcW w:type="dxa" w:w="5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Constat initial</w:t>
            </w:r>
          </w:p>
        </w:tc>
        <w:tc>
          <w:tcPr>
            <w:tcW w:type="dxa" w:w="1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Sévérité</w:t>
            </w:r>
          </w:p>
        </w:tc>
        <w:tc>
          <w:tcPr>
            <w:tcW w:type="dxa" w:w="19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Statut</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A10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SSRF — validation de l’URL du connecteur IA</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PARTIEL</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A08</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Restauration de sauvegarde / élévation de rôle</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Clé API &amp; secret MFA en clair au repos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Absence de limitation de débit (auth)</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Rôle « viewer » pouvait écrire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A01</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Attribution de rôle inter-paliers MSP</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/docs &amp; /openapi exposés ; CORS large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Politique de mot de passe faible</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Uploads validés par taille seulement (SVG/XSS)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A09</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Codes/jetons écrits dans les journaux</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En-têtes de sécurité (HSTS/CSP/anti-framing)</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A07</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Révocation des jetons de rafraîchissement</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bl>
    <w:p>
      <w:pPr>
        <w:pStyle w:val="Heading1"/>
      </w:pPr>
      <w:r>
        <w:t xml:space="preserve">3. Détail des correctifs de la 2ᵉ vague</w:t>
      </w:r>
    </w:p>
    <w:p>
      <w:pPr>
        <w:pStyle w:val="Heading2"/>
      </w:pPr>
      <w:r>
        <w:t xml:space="preserve">3.1  Limitation de débit — IP client fiable  ·  RÉSOLU</w:t>
      </w:r>
    </w:p>
    <w:p>
      <w:pPr>
        <w:spacing w:after="140" w:line="276"/>
      </w:pPr>
      <w:r>
        <w:t xml:space="preserve">nginx calcule désormais la véritable IP client via le module realip (en ne faisant confiance qu’aux sauts internes Caddy/nginx) et l’expose en X-Real-IP ; le limiteur s’appuie sur cette valeur, non falsifiable par un en-tête X-Forwarded-For fourni par le client.</w:t>
      </w:r>
    </w:p>
    <w:p>
      <w:pPr>
        <w:pStyle w:val="Heading2"/>
      </w:pPr>
      <w:r>
        <w:t xml:space="preserve">3.2  XSS stocké via SVG  ·  RÉSOLU</w:t>
      </w:r>
    </w:p>
    <w:p>
      <w:pPr>
        <w:spacing w:after="140" w:line="276"/>
      </w:pPr>
      <w:r>
        <w:t xml:space="preserve">Le format SVG est retiré de la liste blanche d’upload et bloqué même renommé (détection du contenu image/svg). L’en-tête X-Content-Type-Options: nosniff est ajouté, et l’aperçu de politique est assaini côté serveur (suppression des balises script/style, des gestionnaires on* et des URL javascript:).</w:t>
      </w:r>
    </w:p>
    <w:p>
      <w:pPr>
        <w:pStyle w:val="Heading2"/>
      </w:pPr>
      <w:r>
        <w:t xml:space="preserve">3.3  En-têtes de sécurité  ·  RÉSOLU</w:t>
      </w:r>
    </w:p>
    <w:p>
      <w:pPr>
        <w:spacing w:after="140" w:line="276"/>
      </w:pPr>
      <w:r>
        <w:t xml:space="preserve">Ajoutés au niveau de Caddy (terminaison TLS) : HSTS, Content-Security-Policy (compatible avec les polices Google utilisées par l’interface), X-Frame-Options: DENY, X-Content-Type-Options: nosniff, Referrer-Policy, et suppression de l’en-tête Server.</w:t>
      </w:r>
    </w:p>
    <w:p>
      <w:pPr>
        <w:pStyle w:val="Heading2"/>
      </w:pPr>
      <w:r>
        <w:t xml:space="preserve">3.4  Révocation des jetons de rafraîchissement  ·  RÉSOLU</w:t>
      </w:r>
    </w:p>
    <w:p>
      <w:pPr>
        <w:spacing w:after="140" w:line="276"/>
      </w:pPr>
      <w:r>
        <w:t xml:space="preserve">Chaque jeton de rafraîchissement porte une « version ». Un changement de mot de passe incrémente cette version et invalide ainsi toutes les sessions existantes. Aucune déconnexion forcée au déploiement (compatibilité avec les jetons déjà émis).</w:t>
      </w:r>
    </w:p>
    <w:p>
      <w:pPr>
        <w:pStyle w:val="Heading2"/>
      </w:pPr>
      <w:r>
        <w:t xml:space="preserve">3.5  SSRF — re-résolution DNS  ·  PARTIEL (durci)</w:t>
      </w:r>
    </w:p>
    <w:p>
      <w:pPr>
        <w:spacing w:after="140" w:line="276"/>
      </w:pPr>
      <w:r>
        <w:t xml:space="preserve">La validation a lieu à l’enregistrement et à l’appel, les plages privées/loopback/métadonnées sont bloquées, et le suivi des redirections est désactivé. Résidu : un nom DNS à TTL très court peut renvoyer une IP publique à la validation puis une IP interne à la connexion. Fermeture recommandée : liste blanche de sortie réseau (egress) ou épinglage d’IP. Faible exposition : seul un Super Admin définit cette URL.</w:t>
      </w:r>
    </w:p>
    <w:p>
      <w:pPr>
        <w:pStyle w:val="Heading1"/>
      </w:pPr>
      <w:r>
        <w:t xml:space="preserve">4. Éléments restants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400"/>
        <w:gridCol w:w="1500"/>
        <w:gridCol w:w="1640"/>
      </w:tblGrid>
      <w:tr>
        <w:trPr>
          <w:tblHeader/>
        </w:trPr>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OWASP</w:t>
            </w:r>
          </w:p>
        </w:tc>
        <w:tc>
          <w:tcPr>
            <w:tcW w:type="dxa" w:w="5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Élément restant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Sévérité</w:t>
            </w:r>
          </w:p>
        </w:tc>
        <w:tc>
          <w:tcPr>
            <w:tcW w:type="dxa" w:w="1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Statut</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SSRF — fenêtre TOCTOU de re-résolution DNS (rebinding)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PARTIEL</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A07</w:t>
            </w:r>
          </w:p>
        </w:tc>
        <w:tc>
          <w:tcPr>
            <w:tcW w:type="dxa" w:w="5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Énumération d’utilisateurs au flux d’inscription</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2E5FA3"/>
                <w:sz w:val="18"/>
                <w:szCs w:val="18"/>
              </w:rPr>
              <w:t xml:space="preserve">ACCEPTÉ</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Bibliothèque JWT python-jose (vs PyJWT)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2E5FA3"/>
                <w:sz w:val="18"/>
                <w:szCs w:val="18"/>
              </w:rPr>
              <w:t xml:space="preserve">REPORTÉ</w:t>
            </w:r>
          </w:p>
        </w:tc>
      </w:tr>
    </w:tbl>
    <w:p>
      <w:pPr>
        <w:spacing w:after="140" w:line="276"/>
      </w:pPr>
      <w:r>
        <w:t xml:space="preserve"/>
      </w:r>
    </w:p>
    <w:p>
      <w:pPr>
        <w:spacing w:after="140" w:line="276"/>
      </w:pPr>
      <w:r>
        <w:rPr>
          <w:b/>
          <w:bCs/>
        </w:rPr>
        <w:t xml:space="preserve">« ACCEPTÉ » : </w:t>
      </w:r>
      <w:r>
        <w:t xml:space="preserve">l’énumération est inhérente au flux d’inscription (refuser un courriel déjà utilisé est nécessaire et utile à l’utilisateur). </w:t>
      </w:r>
      <w:r>
        <w:rPr>
          <w:b/>
          <w:bCs/>
        </w:rPr>
        <w:t xml:space="preserve">« REPORTÉ » : </w:t>
      </w:r>
      <w:r>
        <w:t xml:space="preserve">python-jose épingle déjà l’algorithme au décodage, donc la confusion d’algorithme est neutralisée ; migrer la bibliothèque touche toute l’authentification — bénéfice faible, risque réel.</w:t>
      </w:r>
    </w:p>
    <w:p>
      <w:pPr>
        <w:pStyle w:val="Heading1"/>
      </w:pPr>
      <w:r>
        <w:t xml:space="preserve">5. Prochaines étapes recommandées</w:t>
      </w:r>
    </w:p>
    <w:p>
      <w:pPr>
        <w:pStyle w:val="ListParagraph"/>
        <w:numPr>
          <w:ilvl w:val="0"/>
          <w:numId w:val="2"/>
        </w:numPr>
        <w:spacing w:after="80" w:line="276"/>
      </w:pPr>
      <w:r>
        <w:rPr>
          <w:b/>
          <w:bCs/>
        </w:rPr>
        <w:t xml:space="preserve">Fermer le résidu SSRF côté réseau</w:t>
      </w:r>
      <w:r>
        <w:t xml:space="preserve"> : restreindre la sortie du conteneur backend (egress allowlist) aux seuls hôtes LLM autorisés.</w:t>
      </w:r>
    </w:p>
    <w:p>
      <w:pPr>
        <w:pStyle w:val="ListParagraph"/>
        <w:numPr>
          <w:ilvl w:val="0"/>
          <w:numId w:val="2"/>
        </w:numPr>
        <w:spacing w:after="80" w:line="276"/>
      </w:pPr>
      <w:r>
        <w:rPr>
          <w:b/>
          <w:bCs/>
        </w:rPr>
        <w:t xml:space="preserve">Resserrer la CSP</w:t>
      </w:r>
      <w:r>
        <w:t xml:space="preserve"> progressivement (retirer 'unsafe-inline' une fois les ressources inline éliminées) — optionnel, défense en profondeur.</w:t>
      </w:r>
    </w:p>
    <w:p>
      <w:pPr>
        <w:pStyle w:val="ListParagraph"/>
        <w:numPr>
          <w:ilvl w:val="0"/>
          <w:numId w:val="2"/>
        </w:numPr>
        <w:spacing w:after="80" w:line="276"/>
      </w:pPr>
      <w:r>
        <w:rPr>
          <w:b/>
          <w:bCs/>
        </w:rPr>
        <w:t xml:space="preserve">Planifier le test d’intrusion accrédité</w:t>
      </w:r>
      <w:r>
        <w:t xml:space="preserve"> requis pour CMMC, sur l’environnement durci.</w:t>
      </w:r>
    </w:p>
    <w:p>
      <w:pPr>
        <w:pStyle w:val="ListParagraph"/>
        <w:numPr>
          <w:ilvl w:val="0"/>
          <w:numId w:val="2"/>
        </w:numPr>
        <w:spacing w:after="80" w:line="276"/>
      </w:pPr>
      <w:r>
        <w:rPr>
          <w:b/>
          <w:bCs/>
        </w:rPr>
        <w:t xml:space="preserve">Vérifier après déploiement</w:t>
      </w:r>
      <w:r>
        <w:t xml:space="preserve"> : présence des en-têtes (HSTS/CSP), 404 sur /docs, 429 après plusieurs échecs de connexion, refus d’une sauvegarde non signée.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Confidentiel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EVA Comply  •  Revue de sécurité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2026-06-23T17:23:58.265Z</dcterms:created>
  <dcterms:modified xsi:type="dcterms:W3CDTF">2026-06-23T17:23:58.265Z</dcterms:modified>
</cp:coreProperties>
</file>

<file path=docProps/custom.xml><?xml version="1.0" encoding="utf-8"?>
<Properties xmlns="http://schemas.openxmlformats.org/officeDocument/2006/custom-properties" xmlns:vt="http://schemas.openxmlformats.org/officeDocument/2006/docPropsVTypes"/>
</file>