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pPr>
      <w:r>
        <w:rPr>
          <w:b/>
          <w:bCs/>
          <w:color w:val="1B3A6B"/>
          <w:sz w:val="56"/>
          <w:szCs w:val="56"/>
        </w:rPr>
        <w:t xml:space="preserve">EVA Comply</w:t>
      </w:r>
    </w:p>
    <w:p>
      <w:pPr>
        <w:spacing w:after="80"/>
      </w:pPr>
      <w:r>
        <w:rPr>
          <w:b/>
          <w:bCs/>
          <w:color w:val="2E5FA3"/>
          <w:sz w:val="34"/>
          <w:szCs w:val="34"/>
        </w:rPr>
        <w:t xml:space="preserve">Revue de sécurité — Audit de suivi</w:t>
      </w:r>
    </w:p>
    <w:p>
      <w:pPr>
        <w:pBdr>
          <w:bottom w:val="single" w:color="2E5FA3" w:sz="12" w:space="6"/>
        </w:pBdr>
        <w:spacing w:after="40"/>
      </w:pPr>
      <w:r>
        <w:rPr>
          <w:color w:val="555555"/>
          <w:sz w:val="23"/>
          <w:szCs w:val="23"/>
        </w:rPr>
        <w:t xml:space="preserve">OWASP Top 10 (2021) — vérification des correctifs et risques résiduels</w:t>
      </w:r>
    </w:p>
    <w:p>
      <w:pPr>
        <w:spacing w:before="240"/>
      </w:pPr>
      <w:r>
        <w:rPr>
          <w:sz w:val="21"/>
          <w:szCs w:val="21"/>
        </w:rPr>
        <w:t xml:space="preserve">Date : 23 juin 2026  ·  Version 2 (post-correctifs, v1.3.0)</w:t>
      </w:r>
    </w:p>
    <w:p>
      <w:r>
        <w:rPr>
          <w:sz w:val="21"/>
          <w:szCs w:val="21"/>
        </w:rPr>
        <w:t xml:space="preserve">Portée : code applicatif backend + configuration de déploiement (Docker, nginx, Caddy)</w:t>
      </w:r>
    </w:p>
    <w:p>
      <w:r>
        <w:rPr>
          <w:i/>
          <w:iCs/>
          <w:color w:val="777777"/>
          <w:sz w:val="21"/>
          <w:szCs w:val="21"/>
        </w:rPr>
        <w:t xml:space="preserve">Classification : Confidentiel — usage interne</w:t>
      </w:r>
    </w:p>
    <w:p>
      <w:r>
        <w:br w:type="page"/>
      </w:r>
    </w:p>
    <w:p>
      <w:pPr>
        <w:pStyle w:val="Heading1"/>
      </w:pPr>
      <w:r>
        <w:t xml:space="preserve">1. Résumé</w:t>
      </w:r>
    </w:p>
    <w:p>
      <w:pPr>
        <w:spacing w:after="140" w:line="276"/>
      </w:pPr>
      <w:r>
        <w:t xml:space="preserve">Cet audit de suivi vérifie, ligne par ligne dans le code, que les correctifs issus de la première revue sont bien en place, et effectue une nouvelle recherche de problèmes ouverts ou nouvellement introduits. C’est une revue de code statique — elle ne remplace pas le test d’intrusion par tierce partie accréditée requis pour la certification CMMC.</w:t>
      </w:r>
    </w:p>
    <w:p>
      <w:pPr>
        <w:spacing w:after="140" w:line="276"/>
      </w:pPr>
      <w:r>
        <w:rPr>
          <w:b/>
          <w:bCs/>
        </w:rPr>
        <w:t xml:space="preserve">Bilan : la qualité de la remédiation est solide. </w:t>
      </w:r>
      <w:r>
        <w:t xml:space="preserve">Six des dix constats initiaux sont entièrement résolus et trois partiellement, sans aucun constat non résolu et aucun nouveau risque élevé. Les bonnes pratiques sont bien implémentées : comparaison HMAC à temps constant, déchiffrement à sûreté intégrée, dépouillement des colonnes sensibles à la restauration, garde de démarrage en production.</w:t>
      </w:r>
    </w:p>
    <w:p>
      <w:pPr>
        <w:spacing w:after="140" w:line="276"/>
      </w:pPr>
      <w:r>
        <w:rPr>
          <w:b/>
          <w:bCs/>
        </w:rPr>
        <w:t xml:space="preserve">Risques résiduels : </w:t>
      </w:r>
      <w:r>
        <w:t xml:space="preserve">trois éléments de sévérité moyenne subsistent — le limiteur de débit fait confiance à l’en-tête X-Forwarded-For falsifiable, un SVG scripté peut être servi « en ligne » (XSS stocké, uniquement sur le stockage S3/R2), et la garde SSRF conserve une fenêtre de re-résolution DNS. Aucun n’est exploitable de façon anonyme depuis Internet (l’application reste derrière la porte d’authentification et HTTPS).</w:t>
      </w:r>
    </w:p>
    <w:p>
      <w:pPr>
        <w:pStyle w:val="Heading2"/>
      </w:pPr>
      <w:r>
        <w:t xml:space="preserve">Évolution du risque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b/>
                <w:bCs/>
                <w:color w:val="FFFFFF"/>
                <w:sz w:val="19"/>
                <w:szCs w:val="19"/>
              </w:rPr>
              <w:t xml:space="preserve">Élevé restant</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b/>
                <w:bCs/>
                <w:color w:val="FFFFFF"/>
                <w:sz w:val="19"/>
                <w:szCs w:val="19"/>
              </w:rPr>
              <w:t xml:space="preserve">Moyen restant</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b/>
                <w:bCs/>
                <w:color w:val="FFFFFF"/>
                <w:sz w:val="19"/>
                <w:szCs w:val="19"/>
              </w:rPr>
              <w:t xml:space="preserve">Faible restant</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b/>
                <w:bCs/>
                <w:color w:val="FFFFFF"/>
                <w:sz w:val="19"/>
                <w:szCs w:val="19"/>
              </w:rPr>
              <w:t xml:space="preserve">Constats résolus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bCs/>
                <w:color w:val="1E8449"/>
                <w:sz w:val="36"/>
                <w:szCs w:val="36"/>
              </w:rPr>
              <w:t xml:space="preserve">0</w:t>
            </w:r>
          </w:p>
          <w:p>
            <w:pPr>
              <w:jc w:val="center"/>
            </w:pPr>
            <w:r>
              <w:rPr>
                <w:color w:val="555555"/>
                <w:sz w:val="16"/>
                <w:szCs w:val="16"/>
              </w:rPr>
              <w:t xml:space="preserve">(était 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bCs/>
                <w:color w:val="B9770E"/>
                <w:sz w:val="36"/>
                <w:szCs w:val="36"/>
              </w:rPr>
              <w:t xml:space="preserve">3</w:t>
            </w:r>
          </w:p>
          <w:p>
            <w:pPr>
              <w:jc w:val="center"/>
            </w:pPr>
            <w:r>
              <w:rPr>
                <w:color w:val="555555"/>
                <w:sz w:val="16"/>
                <w:szCs w:val="16"/>
              </w:rPr>
              <w:t xml:space="preserve">(était 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bCs/>
                <w:color w:val="1E8449"/>
                <w:sz w:val="36"/>
                <w:szCs w:val="36"/>
              </w:rPr>
              <w:t xml:space="preserve">4</w:t>
            </w:r>
          </w:p>
          <w:p>
            <w:pPr>
              <w:jc w:val="center"/>
            </w:pPr>
            <w:r>
              <w:rPr>
                <w:color w:val="555555"/>
                <w:sz w:val="16"/>
                <w:szCs w:val="16"/>
              </w:rPr>
              <w:t xml:space="preserve">(était 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bCs/>
                <w:color w:val="1E8449"/>
                <w:sz w:val="36"/>
                <w:szCs w:val="36"/>
              </w:rPr>
              <w:t xml:space="preserve">6</w:t>
            </w:r>
          </w:p>
          <w:p>
            <w:pPr>
              <w:jc w:val="center"/>
            </w:pPr>
            <w:r>
              <w:rPr>
                <w:color w:val="555555"/>
                <w:sz w:val="16"/>
                <w:szCs w:val="16"/>
              </w:rPr>
              <w:t xml:space="preserve">entièrement</w:t>
            </w:r>
          </w:p>
        </w:tc>
      </w:tr>
    </w:tbl>
    <w:p>
      <w:pPr>
        <w:spacing w:after="140" w:line="276"/>
      </w:pPr>
      <w:r>
        <w:t xml:space="preserve"/>
      </w:r>
    </w:p>
    <w:p>
      <w:pPr>
        <w:spacing w:after="140" w:line="276"/>
      </w:pPr>
      <w:r>
        <w:rPr>
          <w:b/>
          <w:bCs/>
        </w:rPr>
        <w:t xml:space="preserve">En clair : </w:t>
      </w:r>
      <w:r>
        <w:t xml:space="preserve">toutes les corrections demandées ont été appliquées et vérifiées. Il reste deux corrections rapides à fort impact (en-tête d’IP client et traitement des SVG) et l’ajout d’en-têtes de sécurité au proxy.</w:t>
      </w:r>
    </w:p>
    <w:p>
      <w:pPr>
        <w:pStyle w:val="Heading1"/>
      </w:pPr>
      <w:r>
        <w:t xml:space="preserve">2. Statut des constats initiaux</w:t>
      </w:r>
    </w:p>
    <w:p>
      <w:pPr>
        <w:spacing w:after="140" w:line="276"/>
      </w:pPr>
      <w:r>
        <w:t xml:space="preserve">Vérification de chacun des dix constats de la première revue. « PARTIEL » signifie que le correctif principal est en place mais qu’un risque résiduel subsiste (détaillé en section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5260"/>
        <w:gridCol w:w="1340"/>
        <w:gridCol w:w="1940"/>
      </w:tblGrid>
      <w:tr>
        <w:trPr>
          <w:tblHeader/>
        </w:trPr>
        <w:tc>
          <w:tcPr>
            <w:tcW w:type="dxa" w:w="8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b/>
                <w:bCs/>
                <w:color w:val="FFFFFF"/>
                <w:sz w:val="19"/>
                <w:szCs w:val="19"/>
              </w:rPr>
              <w:t xml:space="preserve">OWASP</w:t>
            </w:r>
          </w:p>
        </w:tc>
        <w:tc>
          <w:tcPr>
            <w:tcW w:type="dxa" w:w="52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b/>
                <w:bCs/>
                <w:color w:val="FFFFFF"/>
                <w:sz w:val="19"/>
                <w:szCs w:val="19"/>
              </w:rPr>
              <w:t xml:space="preserve">Constat initial</w:t>
            </w:r>
          </w:p>
        </w:tc>
        <w:tc>
          <w:tcPr>
            <w:tcW w:type="dxa" w:w="1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b/>
                <w:bCs/>
                <w:color w:val="FFFFFF"/>
                <w:sz w:val="19"/>
                <w:szCs w:val="19"/>
              </w:rPr>
              <w:t xml:space="preserve">Sévérité</w:t>
            </w:r>
          </w:p>
        </w:tc>
        <w:tc>
          <w:tcPr>
            <w:tcW w:type="dxa" w:w="19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b/>
                <w:bCs/>
                <w:color w:val="FFFFFF"/>
                <w:sz w:val="19"/>
                <w:szCs w:val="19"/>
              </w:rPr>
              <w:t xml:space="preserve">Statut</w:t>
            </w:r>
          </w:p>
        </w:tc>
      </w:tr>
      <w:tr>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1B3A6B"/>
                <w:sz w:val="19"/>
                <w:szCs w:val="19"/>
              </w:rPr>
              <w:t xml:space="preserve">A10</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SSRF — validation de l’URL du connecteur IA</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C0392B"/>
                <w:sz w:val="18"/>
                <w:szCs w:val="18"/>
              </w:rPr>
              <w:t xml:space="preserve">HIGH</w:t>
            </w:r>
          </w:p>
        </w:tc>
        <w:tc>
          <w:tcPr>
            <w:tcW w:type="dxa" w:w="19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B9770E"/>
                <w:sz w:val="18"/>
                <w:szCs w:val="18"/>
              </w:rPr>
              <w:t xml:space="preserve">PARTIEL</w:t>
            </w:r>
          </w:p>
        </w:tc>
      </w:tr>
      <w:tr>
        <w:tc>
          <w:tcPr>
            <w:tcW w:type="dxa" w:w="8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b/>
                <w:bCs/>
                <w:color w:val="1B3A6B"/>
                <w:sz w:val="19"/>
                <w:szCs w:val="19"/>
              </w:rPr>
              <w:t xml:space="preserve">A08</w:t>
            </w:r>
          </w:p>
        </w:tc>
        <w:tc>
          <w:tcPr>
            <w:tcW w:type="dxa" w:w="52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sz w:val="19"/>
                <w:szCs w:val="19"/>
              </w:rPr>
              <w:t xml:space="preserve">Restauration de sauvegarde / élévation de rôle</w:t>
            </w:r>
          </w:p>
        </w:tc>
        <w:tc>
          <w:tcPr>
            <w:tcW w:type="dxa" w:w="1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b/>
                <w:bCs/>
                <w:color w:val="C0392B"/>
                <w:sz w:val="18"/>
                <w:szCs w:val="18"/>
              </w:rPr>
              <w:t xml:space="preserve">HIGH</w:t>
            </w:r>
          </w:p>
        </w:tc>
        <w:tc>
          <w:tcPr>
            <w:tcW w:type="dxa" w:w="19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b/>
                <w:bCs/>
                <w:color w:val="1E8449"/>
                <w:sz w:val="18"/>
                <w:szCs w:val="18"/>
              </w:rPr>
              <w:t xml:space="preserve">RÉSOLU</w:t>
            </w:r>
          </w:p>
        </w:tc>
      </w:tr>
      <w:tr>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1B3A6B"/>
                <w:sz w:val="19"/>
                <w:szCs w:val="19"/>
              </w:rPr>
              <w:t xml:space="preserve">A02</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Clé API &amp; secret MFA en clair au repos</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C0392B"/>
                <w:sz w:val="18"/>
                <w:szCs w:val="18"/>
              </w:rPr>
              <w:t xml:space="preserve">HIGH</w:t>
            </w:r>
          </w:p>
        </w:tc>
        <w:tc>
          <w:tcPr>
            <w:tcW w:type="dxa" w:w="19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1E8449"/>
                <w:sz w:val="18"/>
                <w:szCs w:val="18"/>
              </w:rPr>
              <w:t xml:space="preserve">RÉSOLU</w:t>
            </w:r>
          </w:p>
        </w:tc>
      </w:tr>
      <w:tr>
        <w:tc>
          <w:tcPr>
            <w:tcW w:type="dxa" w:w="8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b/>
                <w:bCs/>
                <w:color w:val="1B3A6B"/>
                <w:sz w:val="19"/>
                <w:szCs w:val="19"/>
              </w:rPr>
              <w:t xml:space="preserve">A04</w:t>
            </w:r>
          </w:p>
        </w:tc>
        <w:tc>
          <w:tcPr>
            <w:tcW w:type="dxa" w:w="52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sz w:val="19"/>
                <w:szCs w:val="19"/>
              </w:rPr>
              <w:t xml:space="preserve">Absence de limitation de débit (auth)</w:t>
            </w:r>
          </w:p>
        </w:tc>
        <w:tc>
          <w:tcPr>
            <w:tcW w:type="dxa" w:w="1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b/>
                <w:bCs/>
                <w:color w:val="C0392B"/>
                <w:sz w:val="18"/>
                <w:szCs w:val="18"/>
              </w:rPr>
              <w:t xml:space="preserve">HIGH</w:t>
            </w:r>
          </w:p>
        </w:tc>
        <w:tc>
          <w:tcPr>
            <w:tcW w:type="dxa" w:w="19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b/>
                <w:bCs/>
                <w:color w:val="B9770E"/>
                <w:sz w:val="18"/>
                <w:szCs w:val="18"/>
              </w:rPr>
              <w:t xml:space="preserve">PARTIEL</w:t>
            </w:r>
          </w:p>
        </w:tc>
      </w:tr>
      <w:tr>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1B3A6B"/>
                <w:sz w:val="19"/>
                <w:szCs w:val="19"/>
              </w:rPr>
              <w:t xml:space="preserve">A01</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Rôle « viewer » pouvait écrire</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B9770E"/>
                <w:sz w:val="18"/>
                <w:szCs w:val="18"/>
              </w:rPr>
              <w:t xml:space="preserve">MEDIUM</w:t>
            </w:r>
          </w:p>
        </w:tc>
        <w:tc>
          <w:tcPr>
            <w:tcW w:type="dxa" w:w="19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1E8449"/>
                <w:sz w:val="18"/>
                <w:szCs w:val="18"/>
              </w:rPr>
              <w:t xml:space="preserve">RÉSOLU</w:t>
            </w:r>
          </w:p>
        </w:tc>
      </w:tr>
      <w:tr>
        <w:tc>
          <w:tcPr>
            <w:tcW w:type="dxa" w:w="8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b/>
                <w:bCs/>
                <w:color w:val="1B3A6B"/>
                <w:sz w:val="19"/>
                <w:szCs w:val="19"/>
              </w:rPr>
              <w:t xml:space="preserve">A01</w:t>
            </w:r>
          </w:p>
        </w:tc>
        <w:tc>
          <w:tcPr>
            <w:tcW w:type="dxa" w:w="52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sz w:val="19"/>
                <w:szCs w:val="19"/>
              </w:rPr>
              <w:t xml:space="preserve">Attribution de rôle inter-paliers MSP</w:t>
            </w:r>
          </w:p>
        </w:tc>
        <w:tc>
          <w:tcPr>
            <w:tcW w:type="dxa" w:w="1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b/>
                <w:bCs/>
                <w:color w:val="B9770E"/>
                <w:sz w:val="18"/>
                <w:szCs w:val="18"/>
              </w:rPr>
              <w:t xml:space="preserve">MEDIUM</w:t>
            </w:r>
          </w:p>
        </w:tc>
        <w:tc>
          <w:tcPr>
            <w:tcW w:type="dxa" w:w="19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b/>
                <w:bCs/>
                <w:color w:val="1E8449"/>
                <w:sz w:val="18"/>
                <w:szCs w:val="18"/>
              </w:rPr>
              <w:t xml:space="preserve">RÉSOLU</w:t>
            </w:r>
          </w:p>
        </w:tc>
      </w:tr>
      <w:tr>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1B3A6B"/>
                <w:sz w:val="19"/>
                <w:szCs w:val="19"/>
              </w:rPr>
              <w:t xml:space="preserve">A05</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/docs &amp; /openapi exposés ; CORS large</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B9770E"/>
                <w:sz w:val="18"/>
                <w:szCs w:val="18"/>
              </w:rPr>
              <w:t xml:space="preserve">MEDIUM</w:t>
            </w:r>
          </w:p>
        </w:tc>
        <w:tc>
          <w:tcPr>
            <w:tcW w:type="dxa" w:w="19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1E8449"/>
                <w:sz w:val="18"/>
                <w:szCs w:val="18"/>
              </w:rPr>
              <w:t xml:space="preserve">RÉSOLU</w:t>
            </w:r>
          </w:p>
        </w:tc>
      </w:tr>
      <w:tr>
        <w:tc>
          <w:tcPr>
            <w:tcW w:type="dxa" w:w="8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b/>
                <w:bCs/>
                <w:color w:val="1B3A6B"/>
                <w:sz w:val="19"/>
                <w:szCs w:val="19"/>
              </w:rPr>
              <w:t xml:space="preserve">A04</w:t>
            </w:r>
          </w:p>
        </w:tc>
        <w:tc>
          <w:tcPr>
            <w:tcW w:type="dxa" w:w="52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sz w:val="19"/>
                <w:szCs w:val="19"/>
              </w:rPr>
              <w:t xml:space="preserve">Politique de mot de passe faible</w:t>
            </w:r>
          </w:p>
        </w:tc>
        <w:tc>
          <w:tcPr>
            <w:tcW w:type="dxa" w:w="1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b/>
                <w:bCs/>
                <w:color w:val="B9770E"/>
                <w:sz w:val="18"/>
                <w:szCs w:val="18"/>
              </w:rPr>
              <w:t xml:space="preserve">MEDIUM</w:t>
            </w:r>
          </w:p>
        </w:tc>
        <w:tc>
          <w:tcPr>
            <w:tcW w:type="dxa" w:w="19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b/>
                <w:bCs/>
                <w:color w:val="1E8449"/>
                <w:sz w:val="18"/>
                <w:szCs w:val="18"/>
              </w:rPr>
              <w:t xml:space="preserve">RÉSOLU</w:t>
            </w:r>
          </w:p>
        </w:tc>
      </w:tr>
      <w:tr>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1B3A6B"/>
                <w:sz w:val="19"/>
                <w:szCs w:val="19"/>
              </w:rPr>
              <w:t xml:space="preserve">A08</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Uploads validés par taille seulement</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B9770E"/>
                <w:sz w:val="18"/>
                <w:szCs w:val="18"/>
              </w:rPr>
              <w:t xml:space="preserve">MEDIUM</w:t>
            </w:r>
          </w:p>
        </w:tc>
        <w:tc>
          <w:tcPr>
            <w:tcW w:type="dxa" w:w="19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B9770E"/>
                <w:sz w:val="18"/>
                <w:szCs w:val="18"/>
              </w:rPr>
              <w:t xml:space="preserve">PARTIEL</w:t>
            </w:r>
          </w:p>
        </w:tc>
      </w:tr>
      <w:tr>
        <w:tc>
          <w:tcPr>
            <w:tcW w:type="dxa" w:w="8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b/>
                <w:bCs/>
                <w:color w:val="1B3A6B"/>
                <w:sz w:val="19"/>
                <w:szCs w:val="19"/>
              </w:rPr>
              <w:t xml:space="preserve">A09</w:t>
            </w:r>
          </w:p>
        </w:tc>
        <w:tc>
          <w:tcPr>
            <w:tcW w:type="dxa" w:w="52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sz w:val="19"/>
                <w:szCs w:val="19"/>
              </w:rPr>
              <w:t xml:space="preserve">Codes/jetons écrits dans les journaux</w:t>
            </w:r>
          </w:p>
        </w:tc>
        <w:tc>
          <w:tcPr>
            <w:tcW w:type="dxa" w:w="1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b/>
                <w:bCs/>
                <w:color w:val="B9770E"/>
                <w:sz w:val="18"/>
                <w:szCs w:val="18"/>
              </w:rPr>
              <w:t xml:space="preserve">MEDIUM</w:t>
            </w:r>
          </w:p>
        </w:tc>
        <w:tc>
          <w:tcPr>
            <w:tcW w:type="dxa" w:w="19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b/>
                <w:bCs/>
                <w:color w:val="1E8449"/>
                <w:sz w:val="18"/>
                <w:szCs w:val="18"/>
              </w:rPr>
              <w:t xml:space="preserve">RÉSOLU</w:t>
            </w:r>
          </w:p>
        </w:tc>
      </w:tr>
    </w:tbl>
    <w:p>
      <w:pPr>
        <w:pStyle w:val="Heading1"/>
      </w:pPr>
      <w:r>
        <w:t xml:space="preserve">3. Détails — éléments partiels &amp; résiduels</w:t>
      </w:r>
    </w:p>
    <w:p>
      <w:pPr>
        <w:pStyle w:val="Heading2"/>
      </w:pPr>
      <w:r>
        <w:t xml:space="preserve">3.1  SSRF — re-résolution DNS (TOCTOU)  ·  Moyen</w:t>
      </w:r>
    </w:p>
    <w:p>
      <w:pPr>
        <w:spacing w:after="140" w:line="276"/>
      </w:pPr>
      <w:r>
        <w:t xml:space="preserve">La garde valide bien l’URL au moment de l’enregistrement et de l’appel, bloque les plages privées/loopback/lien-local/métadonnées, et httpx ne suit pas les redirections. Résidu : l’URL est résolue pour validation, puis re-résolue au moment de la connexion — un nom DNS à TTL très court peut renvoyer une IP publique à la validation et une IP interne à la connexion.</w:t>
      </w:r>
    </w:p>
    <w:p>
      <w:pPr>
        <w:pStyle w:val="ListParagraph"/>
        <w:numPr>
          <w:ilvl w:val="0"/>
          <w:numId w:val="2"/>
        </w:numPr>
        <w:spacing w:after="80" w:line="276"/>
      </w:pPr>
      <w:r>
        <w:t xml:space="preserve">Correctif : épingler l’IP validée pour la connexion réelle, ou passer par un proxy de sortie avec liste blanche. Atténué aujourd’hui car seul un Super Admin définit l’URL.</w:t>
      </w:r>
    </w:p>
    <w:p>
      <w:pPr>
        <w:pStyle w:val="Heading2"/>
      </w:pPr>
      <w:r>
        <w:t xml:space="preserve">3.2  Limite de débit — X-Forwarded-For falsifiable  ·  Moyen</w:t>
      </w:r>
    </w:p>
    <w:p>
      <w:pPr>
        <w:spacing w:after="140" w:line="276"/>
      </w:pPr>
      <w:r>
        <w:t xml:space="preserve">Le limiteur s’applique aux bons points d’entrée, mais il prend la première entrée de l’en-tête X-Forwarded-For, qui est fournie par le client. nginx ajoute la vraie IP à la suite ; un attaquant qui change cette première valeur à chaque requête échappe donc à la limite par IP.</w:t>
      </w:r>
    </w:p>
    <w:p>
      <w:pPr>
        <w:pStyle w:val="ListParagraph"/>
        <w:numPr>
          <w:ilvl w:val="0"/>
          <w:numId w:val="2"/>
        </w:numPr>
        <w:spacing w:after="80" w:line="276"/>
      </w:pPr>
      <w:r>
        <w:t xml:space="preserve">Correctif (rapide) : utiliser X-Real-IP (déjà posée par nginx au $remote_addr) ou la dernière entrée de X-Forwarded-For. Le verrouillage de compte (3 essais/15 min) reste un garde-fou.</w:t>
      </w:r>
    </w:p>
    <w:p>
      <w:pPr>
        <w:pStyle w:val="Heading2"/>
      </w:pPr>
      <w:r>
        <w:t xml:space="preserve">3.3  XSS stocké via SVG servi en ligne  ·  Moyen</w:t>
      </w:r>
    </w:p>
    <w:p>
      <w:pPr>
        <w:spacing w:after="140" w:line="276"/>
      </w:pPr>
      <w:r>
        <w:t xml:space="preserve">La validation d’upload autorise le format SVG et le reniflage de contenu ne bloque pas image/svg+xml. Un SVG contenant du script passe, et sur le stockage objet (S3/R2) le fichier est servi « en ligne » avec le type fourni par le client — le script s’exécute alors dans le navigateur d’un utilisateur (p. ex. un auditeur EVA ouvrant une preuve). Sur disque local, le fichier est servi en téléchargement, donc le vecteur est propre à S3/R2 et à l’aperçu inline du SPA.</w:t>
      </w:r>
    </w:p>
    <w:p>
      <w:pPr>
        <w:pStyle w:val="ListParagraph"/>
        <w:numPr>
          <w:ilvl w:val="0"/>
          <w:numId w:val="2"/>
        </w:numPr>
        <w:spacing w:after="80" w:line="276"/>
      </w:pPr>
      <w:r>
        <w:t xml:space="preserve">Correctif (rapide) : retirer SVG de la liste blanche (ou l’assainir), ne jamais réutiliser le type MIME fourni par le client, et forcer « attachment » + X-Content-Type-Options: nosniff pour les types non sûrs en ligne.</w:t>
      </w:r>
    </w:p>
    <w:p>
      <w:pPr>
        <w:pStyle w:val="Heading2"/>
      </w:pPr>
      <w:r>
        <w:t xml:space="preserve">3.4  Aperçu de politique (.docx → HTML)  ·  acceptable</w:t>
      </w:r>
    </w:p>
    <w:p>
      <w:pPr>
        <w:spacing w:after="140" w:line="276"/>
      </w:pPr>
      <w:r>
        <w:t xml:space="preserve">Le nouvel aperçu utilise mammoth, qui mappe le contenu Word vers un jeu d’éléments HTML sûr et n’émet pas de scripts ; le contrôle d’accès reflète celui du téléchargement (politiques masquées réservées aux Super Admins). Défense en profondeur recommandée : passer le HTML par un assainisseur (DOMPurify) avant l’injection côté frontend.</w:t>
      </w:r>
    </w:p>
    <w:p>
      <w:pPr>
        <w:pStyle w:val="Heading1"/>
      </w:pPr>
      <w:r>
        <w:t xml:space="preserve">4. Éléments encore ouverts (faibles)</w:t>
      </w:r>
    </w:p>
    <w:p>
      <w:pPr>
        <w:spacing w:after="140" w:line="276"/>
      </w:pPr>
      <w:r>
        <w:t xml:space="preserve">Reportés de la première revue ou nouvellement notés ; aucun n’est bloquant.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6900"/>
        <w:gridCol w:w="1640"/>
      </w:tblGrid>
      <w:tr>
        <w:trPr>
          <w:tblHeader/>
        </w:trPr>
        <w:tc>
          <w:tcPr>
            <w:tcW w:type="dxa" w:w="8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b/>
                <w:bCs/>
                <w:color w:val="FFFFFF"/>
                <w:sz w:val="19"/>
                <w:szCs w:val="19"/>
              </w:rPr>
              <w:t xml:space="preserve">OWASP</w:t>
            </w:r>
          </w:p>
        </w:tc>
        <w:tc>
          <w:tcPr>
            <w:tcW w:type="dxa" w:w="6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b/>
                <w:bCs/>
                <w:color w:val="FFFFFF"/>
                <w:sz w:val="19"/>
                <w:szCs w:val="19"/>
              </w:rPr>
              <w:t xml:space="preserve">Risque résiduel / ouvert</w:t>
            </w:r>
          </w:p>
        </w:tc>
        <w:tc>
          <w:tcPr>
            <w:tcW w:type="dxa" w:w="16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b/>
                <w:bCs/>
                <w:color w:val="FFFFFF"/>
                <w:sz w:val="19"/>
                <w:szCs w:val="19"/>
              </w:rPr>
              <w:t xml:space="preserve">Sévérité</w:t>
            </w:r>
          </w:p>
        </w:tc>
      </w:tr>
      <w:tr>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1B3A6B"/>
                <w:sz w:val="19"/>
                <w:szCs w:val="19"/>
              </w:rPr>
              <w:t xml:space="preserve">A04</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Contournement de la limite via X-Forwarded-For falsifié</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B9770E"/>
                <w:sz w:val="18"/>
                <w:szCs w:val="18"/>
              </w:rPr>
              <w:t xml:space="preserve">MEDIUM</w:t>
            </w:r>
          </w:p>
        </w:tc>
      </w:tr>
      <w:tr>
        <w:tc>
          <w:tcPr>
            <w:tcW w:type="dxa" w:w="8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b/>
                <w:bCs/>
                <w:color w:val="1B3A6B"/>
                <w:sz w:val="19"/>
                <w:szCs w:val="19"/>
              </w:rPr>
              <w:t xml:space="preserve">A08</w:t>
            </w:r>
          </w:p>
        </w:tc>
        <w:tc>
          <w:tcPr>
            <w:tcW w:type="dxa" w:w="6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sz w:val="19"/>
                <w:szCs w:val="19"/>
              </w:rPr>
              <w:t xml:space="preserve">XSS stocké via SVG servi en ligne (backend S3/R2)</w:t>
            </w:r>
          </w:p>
        </w:tc>
        <w:tc>
          <w:tcPr>
            <w:tcW w:type="dxa" w:w="16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b/>
                <w:bCs/>
                <w:color w:val="B9770E"/>
                <w:sz w:val="18"/>
                <w:szCs w:val="18"/>
              </w:rPr>
              <w:t xml:space="preserve">MEDIUM</w:t>
            </w:r>
          </w:p>
        </w:tc>
      </w:tr>
      <w:tr>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1B3A6B"/>
                <w:sz w:val="19"/>
                <w:szCs w:val="19"/>
              </w:rPr>
              <w:t xml:space="preserve">A10</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SSRF — fenêtre TOCTOU de re-résolution DNS (DNS-rebinding)</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B9770E"/>
                <w:sz w:val="18"/>
                <w:szCs w:val="18"/>
              </w:rPr>
              <w:t xml:space="preserve">MEDIUM</w:t>
            </w:r>
          </w:p>
        </w:tc>
      </w:tr>
      <w:tr>
        <w:tc>
          <w:tcPr>
            <w:tcW w:type="dxa" w:w="8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b/>
                <w:bCs/>
                <w:color w:val="1B3A6B"/>
                <w:sz w:val="19"/>
                <w:szCs w:val="19"/>
              </w:rPr>
              <w:t xml:space="preserve">A05</w:t>
            </w:r>
          </w:p>
        </w:tc>
        <w:tc>
          <w:tcPr>
            <w:tcW w:type="dxa" w:w="6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sz w:val="19"/>
                <w:szCs w:val="19"/>
              </w:rPr>
              <w:t xml:space="preserve">En-têtes de sécurité absents (HSTS/CSP/X-Frame-Options)</w:t>
            </w:r>
          </w:p>
        </w:tc>
        <w:tc>
          <w:tcPr>
            <w:tcW w:type="dxa" w:w="16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b/>
                <w:bCs/>
                <w:color w:val="1E8449"/>
                <w:sz w:val="18"/>
                <w:szCs w:val="18"/>
              </w:rPr>
              <w:t xml:space="preserve">LOW</w:t>
            </w:r>
          </w:p>
        </w:tc>
      </w:tr>
      <w:tr>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1B3A6B"/>
                <w:sz w:val="19"/>
                <w:szCs w:val="19"/>
              </w:rPr>
              <w:t xml:space="preserve">A07</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Pas de révocation des jetons de rafraîchissement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1E8449"/>
                <w:sz w:val="18"/>
                <w:szCs w:val="18"/>
              </w:rPr>
              <w:t xml:space="preserve">LOW</w:t>
            </w:r>
          </w:p>
        </w:tc>
      </w:tr>
      <w:tr>
        <w:tc>
          <w:tcPr>
            <w:tcW w:type="dxa" w:w="8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b/>
                <w:bCs/>
                <w:color w:val="1B3A6B"/>
                <w:sz w:val="19"/>
                <w:szCs w:val="19"/>
              </w:rPr>
              <w:t xml:space="preserve">A07</w:t>
            </w:r>
          </w:p>
        </w:tc>
        <w:tc>
          <w:tcPr>
            <w:tcW w:type="dxa" w:w="6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sz w:val="19"/>
                <w:szCs w:val="19"/>
              </w:rPr>
              <w:t xml:space="preserve">Énumération d’utilisateurs via /request-verification</w:t>
            </w:r>
          </w:p>
        </w:tc>
        <w:tc>
          <w:tcPr>
            <w:tcW w:type="dxa" w:w="16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b/>
                <w:bCs/>
                <w:color w:val="1E8449"/>
                <w:sz w:val="18"/>
                <w:szCs w:val="18"/>
              </w:rPr>
              <w:t xml:space="preserve">LOW</w:t>
            </w:r>
          </w:p>
        </w:tc>
      </w:tr>
      <w:tr>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1B3A6B"/>
                <w:sz w:val="19"/>
                <w:szCs w:val="19"/>
              </w:rPr>
              <w:t xml:space="preserve">A06</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Bibliothèque JWT python-jose peu maintenue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1E8449"/>
                <w:sz w:val="18"/>
                <w:szCs w:val="18"/>
              </w:rPr>
              <w:t xml:space="preserve">LOW</w:t>
            </w:r>
          </w:p>
        </w:tc>
      </w:tr>
    </w:tbl>
    <w:p>
      <w:pPr>
        <w:pStyle w:val="Heading1"/>
      </w:pPr>
      <w:r>
        <w:t xml:space="preserve">5. Recommandations &amp; prochaines étapes</w:t>
      </w:r>
    </w:p>
    <w:p>
      <w:pPr>
        <w:pStyle w:val="ListParagraph"/>
        <w:numPr>
          <w:ilvl w:val="0"/>
          <w:numId w:val="3"/>
        </w:numPr>
        <w:spacing w:after="80" w:line="276"/>
      </w:pPr>
      <w:r>
        <w:rPr>
          <w:b/>
          <w:bCs/>
        </w:rPr>
        <w:t xml:space="preserve">Corriger l’IP client du limiteur</w:t>
      </w:r>
      <w:r>
        <w:t xml:space="preserve"> (utiliser X-Real-IP / dernière entrée XFF) — quelques lignes, fort impact.</w:t>
      </w:r>
    </w:p>
    <w:p>
      <w:pPr>
        <w:pStyle w:val="ListParagraph"/>
        <w:numPr>
          <w:ilvl w:val="0"/>
          <w:numId w:val="3"/>
        </w:numPr>
        <w:spacing w:after="80" w:line="276"/>
      </w:pPr>
      <w:r>
        <w:rPr>
          <w:b/>
          <w:bCs/>
        </w:rPr>
        <w:t xml:space="preserve">Durcir le traitement des fichiers</w:t>
      </w:r>
      <w:r>
        <w:t xml:space="preserve"> — retirer/assainir le SVG, servir en « attachment » avec nosniff, ne pas réutiliser le type MIME client.</w:t>
      </w:r>
    </w:p>
    <w:p>
      <w:pPr>
        <w:pStyle w:val="ListParagraph"/>
        <w:numPr>
          <w:ilvl w:val="0"/>
          <w:numId w:val="3"/>
        </w:numPr>
        <w:spacing w:after="80" w:line="276"/>
      </w:pPr>
      <w:r>
        <w:rPr>
          <w:b/>
          <w:bCs/>
        </w:rPr>
        <w:t xml:space="preserve">Ajouter les en-têtes de sécurité au proxy</w:t>
      </w:r>
      <w:r>
        <w:t xml:space="preserve"> (HSTS, CSP, X-Frame-Options, X-Content-Type-Options) — la CSP atténue aussi le risque XSS ci-dessus.</w:t>
      </w:r>
    </w:p>
    <w:p>
      <w:pPr>
        <w:pStyle w:val="ListParagraph"/>
        <w:numPr>
          <w:ilvl w:val="0"/>
          <w:numId w:val="3"/>
        </w:numPr>
        <w:spacing w:after="80" w:line="276"/>
      </w:pPr>
      <w:r>
        <w:rPr>
          <w:b/>
          <w:bCs/>
        </w:rPr>
        <w:t xml:space="preserve">Assainir l’aperçu</w:t>
      </w:r>
      <w:r>
        <w:t xml:space="preserve"> via DOMPurify côté frontend (défense en profondeur).</w:t>
      </w:r>
    </w:p>
    <w:p>
      <w:pPr>
        <w:pStyle w:val="ListParagraph"/>
        <w:numPr>
          <w:ilvl w:val="0"/>
          <w:numId w:val="3"/>
        </w:numPr>
        <w:spacing w:after="80" w:line="276"/>
      </w:pPr>
      <w:r>
        <w:rPr>
          <w:b/>
          <w:bCs/>
        </w:rPr>
        <w:t xml:space="preserve">Backlog faible</w:t>
      </w:r>
      <w:r>
        <w:t xml:space="preserve"> : révocation des jetons de rafraîchissement, réponse uniforme à /request-verification, migration python-jose → PyJWT.</w:t>
      </w:r>
    </w:p>
    <w:p>
      <w:pPr>
        <w:pStyle w:val="ListParagraph"/>
        <w:numPr>
          <w:ilvl w:val="0"/>
          <w:numId w:val="3"/>
        </w:numPr>
        <w:spacing w:after="80" w:line="276"/>
      </w:pPr>
      <w:r>
        <w:rPr>
          <w:b/>
          <w:bCs/>
        </w:rPr>
        <w:t xml:space="preserve">Planifier le test d’intrusion accrédité</w:t>
      </w:r>
      <w:r>
        <w:t xml:space="preserve"> requis pour CMMC, idéalement après ces dernières corrections.</w:t>
      </w:r>
    </w:p>
    <w:p>
      <w:pPr>
        <w:spacing w:after="140" w:line="276"/>
      </w:pPr>
      <w:r>
        <w:t xml:space="preserve"/>
      </w:r>
    </w:p>
    <w:p>
      <w:pPr>
        <w:spacing w:after="140" w:line="276"/>
      </w:pPr>
      <w:r>
        <w:rPr>
          <w:i/>
          <w:iCs/>
          <w:color w:val="555555"/>
        </w:rPr>
        <w:t xml:space="preserve">Les trois éléments moyens ci-dessus sont des correctifs courts et bien circonscrits ; ils peuvent être livrés dans un seul petit lot de durcissement.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Confidentiel  •  Page </w:t>
    </w:r>
    <w:r>
      <w:rPr>
        <w:color w:val="888888"/>
        <w:sz w:val="16"/>
        <w:szCs w:val="16"/>
      </w:rPr>
      <w:fldChar w:fldCharType="begin"/>
      <w:instrText xml:space="preserve">PAGE</w:instrText>
      <w:fldChar w:fldCharType="separate"/>
      <w:fldChar w:fldCharType="end"/>
    </w:r>
    <w:r>
      <w:rPr>
        <w:color w:val="888888"/>
        <w:sz w:val="16"/>
        <w:szCs w:val="16"/>
      </w:rPr>
      <w:t xml:space="preserve"> /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888888"/>
        <w:sz w:val="16"/>
        <w:szCs w:val="16"/>
      </w:rPr>
      <w:t xml:space="preserve">EVA Comply  •  Revue de sécurité — Audit de suivi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FA3" w:sz="6" w:space="4"/>
      </w:pBdr>
      <w:spacing w:after="160" w:before="320"/>
      <w:outlineLvl w:val="0"/>
    </w:pPr>
    <w:rPr>
      <w:rFonts w:ascii="Arial" w:cs="Arial" w:eastAsia="Arial" w:hAnsi="Arial"/>
      <w:b/>
      <w:bCs/>
      <w:color w:val="1B3A6B"/>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2026-06-23T17:00:28.460Z</dcterms:created>
  <dcterms:modified xsi:type="dcterms:W3CDTF">2026-06-23T17:00:28.461Z</dcterms:modified>
</cp:coreProperties>
</file>

<file path=docProps/custom.xml><?xml version="1.0" encoding="utf-8"?>
<Properties xmlns="http://schemas.openxmlformats.org/officeDocument/2006/custom-properties" xmlns:vt="http://schemas.openxmlformats.org/officeDocument/2006/docPropsVTypes"/>
</file>