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b/>
          <w:bCs/>
          <w:color w:val="1B3A6B"/>
          <w:sz w:val="56"/>
          <w:szCs w:val="56"/>
        </w:rPr>
        <w:t xml:space="preserve">EVA Comply</w:t>
      </w:r>
    </w:p>
    <w:p>
      <w:pPr>
        <w:spacing w:after="80"/>
      </w:pPr>
      <w:r>
        <w:rPr>
          <w:b/>
          <w:bCs/>
          <w:color w:val="2E5FA3"/>
          <w:sz w:val="36"/>
          <w:szCs w:val="36"/>
        </w:rPr>
        <w:t xml:space="preserve">Security Review &amp; Remediation Roadmap</w:t>
      </w:r>
    </w:p>
    <w:p>
      <w:pPr>
        <w:pBdr>
          <w:bottom w:val="single" w:color="2E5FA3" w:sz="12" w:space="6"/>
        </w:pBdr>
        <w:spacing w:after="40"/>
      </w:pPr>
      <w:r>
        <w:rPr>
          <w:color w:val="555555"/>
          <w:sz w:val="24"/>
          <w:szCs w:val="24"/>
        </w:rPr>
        <w:t xml:space="preserve">OWASP Top 10 (2021) — white-box code &amp; configuration audit</w:t>
      </w:r>
    </w:p>
    <w:p>
      <w:pPr>
        <w:spacing w:before="240"/>
      </w:pPr>
      <w:r>
        <w:rPr>
          <w:sz w:val="21"/>
          <w:szCs w:val="21"/>
        </w:rPr>
        <w:t xml:space="preserve">Prepared: June 23, 2026</w:t>
      </w:r>
    </w:p>
    <w:p>
      <w:r>
        <w:rPr>
          <w:sz w:val="21"/>
          <w:szCs w:val="21"/>
        </w:rPr>
        <w:t xml:space="preserve">Scope: backend application code, deployment configuration (Docker, nginx, Caddy)</w:t>
      </w:r>
    </w:p>
    <w:p>
      <w:r>
        <w:rPr>
          <w:i/>
          <w:iCs/>
          <w:color w:val="777777"/>
          <w:sz w:val="21"/>
          <w:szCs w:val="21"/>
        </w:rPr>
        <w:t xml:space="preserve">Classification: Confidential — internal use</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40" w:line="276"/>
      </w:pPr>
      <w:r>
        <w:t xml:space="preserve">This review assessed the EVA Comply platform against the OWASP Top 10 (2021) using a white-box audit of the application source code and deployment configuration. It is a static code and configuration review with concrete file-and-line evidence — not a live network penetration test. For CMMC certification, an accredited third-party penetration test against the running environment will still be required.</w:t>
      </w:r>
    </w:p>
    <w:p>
      <w:pPr>
        <w:spacing w:after="140" w:line="276"/>
      </w:pPr>
      <w:r>
        <w:rPr>
          <w:b/>
          <w:bCs/>
        </w:rPr>
        <w:t xml:space="preserve">The platform's security foundations are strong. </w:t>
      </w:r>
      <w:r>
        <w:t xml:space="preserve">Multi-tenant isolation is sound — no cross-tenant data-exfiltration was found. Database access is fully parameterized through the ORM (no SQL injection), dependencies are actively CVE-tracked, and backups already strip password and MFA material. JWT handling correctly rejects token-type confusion and the pre-MFA token.</w:t>
      </w:r>
    </w:p>
    <w:p>
      <w:pPr>
        <w:spacing w:after="140" w:line="276"/>
      </w:pPr>
      <w:r>
        <w:rPr>
          <w:b/>
          <w:bCs/>
        </w:rPr>
        <w:t xml:space="preserve">The issues that matter most are privileged-account abuse surfaces and missing perimeter controls</w:t>
      </w:r>
      <w:r>
        <w:t xml:space="preserve">, rather than anonymous remote exploits. The highest-impact items are a server-side request forgery (SSRF) primitive in the LLM connector, an over-powerful backup restore, secrets stored in plaintext at rest, and the absence of rate limiting on authentication endpoints.</w:t>
      </w:r>
    </w:p>
    <w:p>
      <w:pPr>
        <w:pStyle w:val="Heading2"/>
      </w:pPr>
      <w:r>
        <w:t xml:space="preserve">Risk profile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b/>
                <w:bCs/>
                <w:color w:val="FFFFFF"/>
                <w:sz w:val="19"/>
                <w:szCs w:val="19"/>
              </w:rPr>
              <w:t xml:space="preserve">High</w:t>
            </w:r>
          </w:p>
        </w:tc>
        <w:tc>
          <w:tcPr>
            <w:tcW w:type="dxa" w:w="2340"/>
            <w:tcBorders>
              <w:top w:val="single" w:color="CCCCCC" w:sz="1"/>
              <w:left w:val="single" w:color="CCCCCC" w:sz="1"/>
              <w:bottom w:val="single" w:color="CCCCCC" w:sz="1"/>
              <w:right w:val="single" w:color="CCCCCC" w:sz="1"/>
            </w:tcBorders>
            <w:shd w:fill="B9770E" w:val="clear"/>
            <w:tcMar>
              <w:top w:type="dxa" w:w="80"/>
              <w:left w:type="dxa" w:w="120"/>
              <w:bottom w:type="dxa" w:w="80"/>
              <w:right w:type="dxa" w:w="120"/>
            </w:tcMar>
            <w:vAlign w:val="center"/>
          </w:tcPr>
          <w:p>
            <w:pPr>
              <w:jc w:val="center"/>
            </w:pPr>
            <w:r>
              <w:rPr>
                <w:b/>
                <w:bCs/>
                <w:color w:val="FFFFFF"/>
                <w:sz w:val="19"/>
                <w:szCs w:val="19"/>
              </w:rPr>
              <w:t xml:space="preserve">Medium</w:t>
            </w:r>
          </w:p>
        </w:tc>
        <w:tc>
          <w:tcPr>
            <w:tcW w:type="dxa" w:w="234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vAlign w:val="center"/>
          </w:tcPr>
          <w:p>
            <w:pPr>
              <w:jc w:val="center"/>
            </w:pPr>
            <w:r>
              <w:rPr>
                <w:b/>
                <w:bCs/>
                <w:color w:val="FFFFFF"/>
                <w:sz w:val="19"/>
                <w:szCs w:val="19"/>
              </w:rPr>
              <w:t xml:space="preserve">Low</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19"/>
                <w:szCs w:val="19"/>
              </w:rPr>
              <w:t xml:space="preserve">Foundations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bCs/>
                <w:color w:val="C0392B"/>
                <w:sz w:val="36"/>
                <w:szCs w:val="36"/>
              </w:rPr>
              <w:t xml:space="preserve">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bCs/>
                <w:color w:val="B9770E"/>
                <w:sz w:val="36"/>
                <w:szCs w:val="36"/>
              </w:rPr>
              <w:t xml:space="preserve">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bCs/>
                <w:color w:val="1E8449"/>
                <w:sz w:val="36"/>
                <w:szCs w:val="36"/>
              </w:rPr>
              <w:t xml:space="preserve">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bCs/>
                <w:color w:val="1B3A6B"/>
                <w:sz w:val="24"/>
                <w:szCs w:val="24"/>
              </w:rPr>
              <w:t xml:space="preserve">Sound</w:t>
            </w:r>
          </w:p>
        </w:tc>
      </w:tr>
    </w:tbl>
    <w:p>
      <w:pPr>
        <w:spacing w:after="140" w:line="276"/>
      </w:pPr>
      <w:r>
        <w:t xml:space="preserve"/>
      </w:r>
    </w:p>
    <w:p>
      <w:pPr>
        <w:spacing w:after="140" w:line="276"/>
      </w:pPr>
      <w:r>
        <w:rPr>
          <w:b/>
          <w:bCs/>
        </w:rPr>
        <w:t xml:space="preserve">Bottom line: </w:t>
      </w:r>
      <w:r>
        <w:t xml:space="preserve">none of the High findings are anonymously exploitable from the internet today, because the app sits behind an HTTP Basic Auth gate and HTTPS. They should nonetheless be remediated before broader production rollout, as they represent insider risk and would become exploitable if the gate were removed or an admin account compromised.</w:t>
      </w:r>
    </w:p>
    <w:p>
      <w:pPr>
        <w:pStyle w:val="Heading1"/>
      </w:pPr>
      <w:r>
        <w:t xml:space="preserve">2. Findings summary</w:t>
      </w:r>
    </w:p>
    <w:p>
      <w:pPr>
        <w:spacing w:after="140" w:line="276"/>
      </w:pPr>
      <w:r>
        <w:t xml:space="preserve">All sixteen findings, ordered by severity. Detailed evidence and remediation for each appear in SECURITY_REVIEW.md (the companion technical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660"/>
        <w:gridCol w:w="1340"/>
        <w:gridCol w:w="2460"/>
      </w:tblGrid>
      <w:tr>
        <w:trPr>
          <w:tblHeader/>
        </w:trPr>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b/>
                <w:bCs/>
                <w:color w:val="FFFFFF"/>
                <w:sz w:val="19"/>
                <w:szCs w:val="19"/>
              </w:rPr>
              <w:t xml:space="preserve">OWASP</w:t>
            </w:r>
          </w:p>
        </w:tc>
        <w:tc>
          <w:tcPr>
            <w:tcW w:type="dxa" w:w="46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b/>
                <w:bCs/>
                <w:color w:val="FFFFFF"/>
                <w:sz w:val="19"/>
                <w:szCs w:val="19"/>
              </w:rPr>
              <w:t xml:space="preserve">Finding</w:t>
            </w:r>
          </w:p>
        </w:tc>
        <w:tc>
          <w:tcPr>
            <w:tcW w:type="dxa" w:w="1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b/>
                <w:bCs/>
                <w:color w:val="FFFFFF"/>
                <w:sz w:val="19"/>
                <w:szCs w:val="19"/>
              </w:rPr>
              <w:t xml:space="preserve">Severity</w:t>
            </w:r>
          </w:p>
        </w:tc>
        <w:tc>
          <w:tcPr>
            <w:tcW w:type="dxa" w:w="24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b/>
                <w:bCs/>
                <w:color w:val="FFFFFF"/>
                <w:sz w:val="19"/>
                <w:szCs w:val="19"/>
              </w:rPr>
              <w:t xml:space="preserve">Location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1B3A6B"/>
                <w:sz w:val="19"/>
                <w:szCs w:val="19"/>
              </w:rPr>
              <w:t xml:space="preserve">A10</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LLM connector SSRF — base_url unvalidated</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C0392B"/>
                <w:sz w:val="18"/>
                <w:szCs w:val="18"/>
              </w:rPr>
              <w:t xml:space="preserve">HIGH</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i/>
                <w:iCs/>
                <w:color w:val="555555"/>
                <w:sz w:val="17"/>
                <w:szCs w:val="17"/>
              </w:rPr>
              <w:t xml:space="preserve">llm.py / llm_settings.py</w:t>
            </w:r>
          </w:p>
        </w:tc>
      </w:tr>
      <w:tr>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bCs/>
                <w:color w:val="1B3A6B"/>
                <w:sz w:val="19"/>
                <w:szCs w:val="19"/>
              </w:rPr>
              <w:t xml:space="preserve">A08</w:t>
            </w:r>
          </w:p>
        </w:tc>
        <w:tc>
          <w:tcPr>
            <w:tcW w:type="dxa" w:w="46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sz w:val="19"/>
                <w:szCs w:val="19"/>
              </w:rPr>
              <w:t xml:space="preserve">Backup restore can escalate roles / overwrite tenants</w:t>
            </w:r>
          </w:p>
        </w:tc>
        <w:tc>
          <w:tcPr>
            <w:tcW w:type="dxa" w:w="1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bCs/>
                <w:color w:val="C0392B"/>
                <w:sz w:val="18"/>
                <w:szCs w:val="18"/>
              </w:rPr>
              <w:t xml:space="preserve">HIGH</w:t>
            </w:r>
          </w:p>
        </w:tc>
        <w:tc>
          <w:tcPr>
            <w:tcW w:type="dxa" w:w="24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i/>
                <w:iCs/>
                <w:color w:val="555555"/>
                <w:sz w:val="17"/>
                <w:szCs w:val="17"/>
              </w:rPr>
              <w:t xml:space="preserve">backup_io.py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1B3A6B"/>
                <w:sz w:val="19"/>
                <w:szCs w:val="19"/>
              </w:rPr>
              <w:t xml:space="preserve">A02</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API key &amp; MFA secret stored plaintext at rest</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C0392B"/>
                <w:sz w:val="18"/>
                <w:szCs w:val="18"/>
              </w:rPr>
              <w:t xml:space="preserve">HIGH</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i/>
                <w:iCs/>
                <w:color w:val="555555"/>
                <w:sz w:val="17"/>
                <w:szCs w:val="17"/>
              </w:rPr>
              <w:t xml:space="preserve">models/llm_settings.py, models/user.py</w:t>
            </w:r>
          </w:p>
        </w:tc>
      </w:tr>
      <w:tr>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bCs/>
                <w:color w:val="1B3A6B"/>
                <w:sz w:val="19"/>
                <w:szCs w:val="19"/>
              </w:rPr>
              <w:t xml:space="preserve">A04</w:t>
            </w:r>
          </w:p>
        </w:tc>
        <w:tc>
          <w:tcPr>
            <w:tcW w:type="dxa" w:w="46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sz w:val="19"/>
                <w:szCs w:val="19"/>
              </w:rPr>
              <w:t xml:space="preserve">No rate limiting on auth endpoints</w:t>
            </w:r>
          </w:p>
        </w:tc>
        <w:tc>
          <w:tcPr>
            <w:tcW w:type="dxa" w:w="1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bCs/>
                <w:color w:val="C0392B"/>
                <w:sz w:val="18"/>
                <w:szCs w:val="18"/>
              </w:rPr>
              <w:t xml:space="preserve">HIGH</w:t>
            </w:r>
          </w:p>
        </w:tc>
        <w:tc>
          <w:tcPr>
            <w:tcW w:type="dxa" w:w="24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i/>
                <w:iCs/>
                <w:color w:val="555555"/>
                <w:sz w:val="17"/>
                <w:szCs w:val="17"/>
              </w:rPr>
              <w:t xml:space="preserve">auth.py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1B3A6B"/>
                <w:sz w:val="19"/>
                <w:szCs w:val="19"/>
              </w:rPr>
              <w:t xml:space="preserve">A01</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Client 'viewer' role can write/delete</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B9770E"/>
                <w:sz w:val="18"/>
                <w:szCs w:val="18"/>
              </w:rPr>
              <w:t xml:space="preserve">MEDIUM</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i/>
                <w:iCs/>
                <w:color w:val="555555"/>
                <w:sz w:val="17"/>
                <w:szCs w:val="17"/>
              </w:rPr>
              <w:t xml:space="preserve">evidence.py, controls.py</w:t>
            </w:r>
          </w:p>
        </w:tc>
      </w:tr>
      <w:tr>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bCs/>
                <w:color w:val="1B3A6B"/>
                <w:sz w:val="19"/>
                <w:szCs w:val="19"/>
              </w:rPr>
              <w:t xml:space="preserve">A01</w:t>
            </w:r>
          </w:p>
        </w:tc>
        <w:tc>
          <w:tcPr>
            <w:tcW w:type="dxa" w:w="46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sz w:val="19"/>
                <w:szCs w:val="19"/>
              </w:rPr>
              <w:t xml:space="preserve">Intra-tenant resource-id confusion</w:t>
            </w:r>
          </w:p>
        </w:tc>
        <w:tc>
          <w:tcPr>
            <w:tcW w:type="dxa" w:w="1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bCs/>
                <w:color w:val="B9770E"/>
                <w:sz w:val="18"/>
                <w:szCs w:val="18"/>
              </w:rPr>
              <w:t xml:space="preserve">MEDIUM</w:t>
            </w:r>
          </w:p>
        </w:tc>
        <w:tc>
          <w:tcPr>
            <w:tcW w:type="dxa" w:w="24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i/>
                <w:iCs/>
                <w:color w:val="555555"/>
                <w:sz w:val="17"/>
                <w:szCs w:val="17"/>
              </w:rPr>
              <w:t xml:space="preserve">controls.py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1B3A6B"/>
                <w:sz w:val="19"/>
                <w:szCs w:val="19"/>
              </w:rPr>
              <w:t xml:space="preserve">A01</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MSP cross-tier role assignment</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B9770E"/>
                <w:sz w:val="18"/>
                <w:szCs w:val="18"/>
              </w:rPr>
              <w:t xml:space="preserve">MEDIUM</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i/>
                <w:iCs/>
                <w:color w:val="555555"/>
                <w:sz w:val="17"/>
                <w:szCs w:val="17"/>
              </w:rPr>
              <w:t xml:space="preserve">users.py</w:t>
            </w:r>
          </w:p>
        </w:tc>
      </w:tr>
      <w:tr>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bCs/>
                <w:color w:val="1B3A6B"/>
                <w:sz w:val="19"/>
                <w:szCs w:val="19"/>
              </w:rPr>
              <w:t xml:space="preserve">A01</w:t>
            </w:r>
          </w:p>
        </w:tc>
        <w:tc>
          <w:tcPr>
            <w:tcW w:type="dxa" w:w="46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sz w:val="19"/>
                <w:szCs w:val="19"/>
              </w:rPr>
              <w:t xml:space="preserve">Caller-set billing amount; no audit on framework delete</w:t>
            </w:r>
          </w:p>
        </w:tc>
        <w:tc>
          <w:tcPr>
            <w:tcW w:type="dxa" w:w="1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bCs/>
                <w:color w:val="B9770E"/>
                <w:sz w:val="18"/>
                <w:szCs w:val="18"/>
              </w:rPr>
              <w:t xml:space="preserve">MEDIUM</w:t>
            </w:r>
          </w:p>
        </w:tc>
        <w:tc>
          <w:tcPr>
            <w:tcW w:type="dxa" w:w="24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i/>
                <w:iCs/>
                <w:color w:val="555555"/>
                <w:sz w:val="17"/>
                <w:szCs w:val="17"/>
              </w:rPr>
              <w:t xml:space="preserve">tenants.py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1B3A6B"/>
                <w:sz w:val="19"/>
                <w:szCs w:val="19"/>
              </w:rPr>
              <w:t xml:space="preserve">A05</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/docs &amp; /openapi.json exposed; permissive CORS</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B9770E"/>
                <w:sz w:val="18"/>
                <w:szCs w:val="18"/>
              </w:rPr>
              <w:t xml:space="preserve">MEDIUM</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i/>
                <w:iCs/>
                <w:color w:val="555555"/>
                <w:sz w:val="17"/>
                <w:szCs w:val="17"/>
              </w:rPr>
              <w:t xml:space="preserve">main.py</w:t>
            </w:r>
          </w:p>
        </w:tc>
      </w:tr>
      <w:tr>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bCs/>
                <w:color w:val="1B3A6B"/>
                <w:sz w:val="19"/>
                <w:szCs w:val="19"/>
              </w:rPr>
              <w:t xml:space="preserve">A04</w:t>
            </w:r>
          </w:p>
        </w:tc>
        <w:tc>
          <w:tcPr>
            <w:tcW w:type="dxa" w:w="46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sz w:val="19"/>
                <w:szCs w:val="19"/>
              </w:rPr>
              <w:t xml:space="preserve">Weak password policy; narrow MFA enforcement</w:t>
            </w:r>
          </w:p>
        </w:tc>
        <w:tc>
          <w:tcPr>
            <w:tcW w:type="dxa" w:w="1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bCs/>
                <w:color w:val="B9770E"/>
                <w:sz w:val="18"/>
                <w:szCs w:val="18"/>
              </w:rPr>
              <w:t xml:space="preserve">MEDIUM</w:t>
            </w:r>
          </w:p>
        </w:tc>
        <w:tc>
          <w:tcPr>
            <w:tcW w:type="dxa" w:w="24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i/>
                <w:iCs/>
                <w:color w:val="555555"/>
                <w:sz w:val="17"/>
                <w:szCs w:val="17"/>
              </w:rPr>
              <w:t xml:space="preserve">auth.py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1B3A6B"/>
                <w:sz w:val="19"/>
                <w:szCs w:val="19"/>
              </w:rPr>
              <w:t xml:space="preserve">A08</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Uploads validated by size only (no magic-byte check)</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B9770E"/>
                <w:sz w:val="18"/>
                <w:szCs w:val="18"/>
              </w:rPr>
              <w:t xml:space="preserve">MEDIUM</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i/>
                <w:iCs/>
                <w:color w:val="555555"/>
                <w:sz w:val="17"/>
                <w:szCs w:val="17"/>
              </w:rPr>
              <w:t xml:space="preserve">evidence.py, policy.py</w:t>
            </w:r>
          </w:p>
        </w:tc>
      </w:tr>
      <w:tr>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bCs/>
                <w:color w:val="1B3A6B"/>
                <w:sz w:val="19"/>
                <w:szCs w:val="19"/>
              </w:rPr>
              <w:t xml:space="preserve">A09</w:t>
            </w:r>
          </w:p>
        </w:tc>
        <w:tc>
          <w:tcPr>
            <w:tcW w:type="dxa" w:w="46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sz w:val="19"/>
                <w:szCs w:val="19"/>
              </w:rPr>
              <w:t xml:space="preserve">Verification codes / unlock tokens printed to logs</w:t>
            </w:r>
          </w:p>
        </w:tc>
        <w:tc>
          <w:tcPr>
            <w:tcW w:type="dxa" w:w="1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bCs/>
                <w:color w:val="B9770E"/>
                <w:sz w:val="18"/>
                <w:szCs w:val="18"/>
              </w:rPr>
              <w:t xml:space="preserve">MEDIUM</w:t>
            </w:r>
          </w:p>
        </w:tc>
        <w:tc>
          <w:tcPr>
            <w:tcW w:type="dxa" w:w="24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i/>
                <w:iCs/>
                <w:color w:val="555555"/>
                <w:sz w:val="17"/>
                <w:szCs w:val="17"/>
              </w:rPr>
              <w:t xml:space="preserve">auth.py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1B3A6B"/>
                <w:sz w:val="19"/>
                <w:szCs w:val="19"/>
              </w:rPr>
              <w:t xml:space="preserve">A07</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Login user-enumeration; long-lived refresh tokens</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1E8449"/>
                <w:sz w:val="18"/>
                <w:szCs w:val="18"/>
              </w:rPr>
              <w:t xml:space="preserve">LOW</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i/>
                <w:iCs/>
                <w:color w:val="555555"/>
                <w:sz w:val="17"/>
                <w:szCs w:val="17"/>
              </w:rPr>
              <w:t xml:space="preserve">auth.py</w:t>
            </w:r>
          </w:p>
        </w:tc>
      </w:tr>
      <w:tr>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bCs/>
                <w:color w:val="1B3A6B"/>
                <w:sz w:val="19"/>
                <w:szCs w:val="19"/>
              </w:rPr>
              <w:t xml:space="preserve">A05</w:t>
            </w:r>
          </w:p>
        </w:tc>
        <w:tc>
          <w:tcPr>
            <w:tcW w:type="dxa" w:w="46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sz w:val="19"/>
                <w:szCs w:val="19"/>
              </w:rPr>
              <w:t xml:space="preserve">No HSTS/CSP/X-Frame-Options security headers</w:t>
            </w:r>
          </w:p>
        </w:tc>
        <w:tc>
          <w:tcPr>
            <w:tcW w:type="dxa" w:w="1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bCs/>
                <w:color w:val="1E8449"/>
                <w:sz w:val="18"/>
                <w:szCs w:val="18"/>
              </w:rPr>
              <w:t xml:space="preserve">LOW</w:t>
            </w:r>
          </w:p>
        </w:tc>
        <w:tc>
          <w:tcPr>
            <w:tcW w:type="dxa" w:w="24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i/>
                <w:iCs/>
                <w:color w:val="555555"/>
                <w:sz w:val="17"/>
                <w:szCs w:val="17"/>
              </w:rPr>
              <w:t xml:space="preserve">caddy / nginx</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1B3A6B"/>
                <w:sz w:val="19"/>
                <w:szCs w:val="19"/>
              </w:rPr>
              <w:t xml:space="preserve">A08</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storage.save_bytes relies on caller-sanitized keys</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1E8449"/>
                <w:sz w:val="18"/>
                <w:szCs w:val="18"/>
              </w:rPr>
              <w:t xml:space="preserve">LOW</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i/>
                <w:iCs/>
                <w:color w:val="555555"/>
                <w:sz w:val="17"/>
                <w:szCs w:val="17"/>
              </w:rPr>
              <w:t xml:space="preserve">storage.py</w:t>
            </w:r>
          </w:p>
        </w:tc>
      </w:tr>
      <w:tr>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bCs/>
                <w:color w:val="1B3A6B"/>
                <w:sz w:val="19"/>
                <w:szCs w:val="19"/>
              </w:rPr>
              <w:t xml:space="preserve">A06</w:t>
            </w:r>
          </w:p>
        </w:tc>
        <w:tc>
          <w:tcPr>
            <w:tcW w:type="dxa" w:w="46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sz w:val="19"/>
                <w:szCs w:val="19"/>
              </w:rPr>
              <w:t xml:space="preserve">Consider migrating python-jose → PyJWT</w:t>
            </w:r>
          </w:p>
        </w:tc>
        <w:tc>
          <w:tcPr>
            <w:tcW w:type="dxa" w:w="1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bCs/>
                <w:color w:val="1E8449"/>
                <w:sz w:val="18"/>
                <w:szCs w:val="18"/>
              </w:rPr>
              <w:t xml:space="preserve">LOW</w:t>
            </w:r>
          </w:p>
        </w:tc>
        <w:tc>
          <w:tcPr>
            <w:tcW w:type="dxa" w:w="24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i/>
                <w:iCs/>
                <w:color w:val="555555"/>
                <w:sz w:val="17"/>
                <w:szCs w:val="17"/>
              </w:rPr>
              <w:t xml:space="preserve">requirements.txt</w:t>
            </w:r>
          </w:p>
        </w:tc>
      </w:tr>
    </w:tbl>
    <w:p>
      <w:pPr>
        <w:pStyle w:val="Heading1"/>
      </w:pPr>
      <w:r>
        <w:t xml:space="preserve">3. Recommendations</w:t>
      </w:r>
    </w:p>
    <w:p>
      <w:pPr>
        <w:spacing w:after="140" w:line="276"/>
      </w:pPr>
      <w:r>
        <w:t xml:space="preserve">The four High-severity items below deliver the largest risk reduction and should be treated as release-blockers for any expansion beyond the current gated deployment.</w:t>
      </w:r>
    </w:p>
    <w:p>
      <w:pPr>
        <w:pStyle w:val="Heading2"/>
      </w:pPr>
      <w:r>
        <w:t xml:space="preserve">3.1  Validate the LLM connector URL (SSRF)</w:t>
      </w:r>
    </w:p>
    <w:p>
      <w:pPr>
        <w:spacing w:after="140" w:line="276"/>
      </w:pPr>
      <w:r>
        <w:t xml:space="preserve">The LLM connector accepts an arbitrary base URL and the server then makes requests to it, returning a snippet of the response. A privileged user — or anyone who compromises that account — could point it at internal addresses such as the cloud metadata endpoint (169.254.169.254) or internal services, and exfiltrate the response along with the configured API key.</w:t>
      </w:r>
    </w:p>
    <w:p>
      <w:pPr>
        <w:pStyle w:val="ListParagraph"/>
        <w:numPr>
          <w:ilvl w:val="0"/>
          <w:numId w:val="2"/>
        </w:numPr>
        <w:spacing w:after="80" w:line="276"/>
      </w:pPr>
      <w:r>
        <w:t xml:space="preserve">Enforce an https scheme; permit http only for an explicit host allowlist (e.g. a local Ollama instance).</w:t>
      </w:r>
    </w:p>
    <w:p>
      <w:pPr>
        <w:pStyle w:val="ListParagraph"/>
        <w:numPr>
          <w:ilvl w:val="0"/>
          <w:numId w:val="2"/>
        </w:numPr>
        <w:spacing w:after="80" w:line="276"/>
      </w:pPr>
      <w:r>
        <w:t xml:space="preserve">Resolve the hostname and reject private, loopback, and link-local ranges (RFC 1918, 127.0.0.0/8, 169.254.0.0/16).</w:t>
      </w:r>
    </w:p>
    <w:p>
      <w:pPr>
        <w:pStyle w:val="ListParagraph"/>
        <w:numPr>
          <w:ilvl w:val="0"/>
          <w:numId w:val="2"/>
        </w:numPr>
        <w:spacing w:after="80" w:line="276"/>
      </w:pPr>
      <w:r>
        <w:t xml:space="preserve">Consider an outbound egress allowlist at the network layer as defense-in-depth.</w:t>
      </w:r>
    </w:p>
    <w:p>
      <w:pPr>
        <w:pStyle w:val="Heading2"/>
      </w:pPr>
      <w:r>
        <w:t xml:space="preserve">3.2  Constrain the backup restore</w:t>
      </w:r>
    </w:p>
    <w:p>
      <w:pPr>
        <w:spacing w:after="140" w:line="276"/>
      </w:pPr>
      <w:r>
        <w:t xml:space="preserve">Restoring an uploaded bundle upserts rows across every table, copying sensitive columns such as role, is_active, tenant_id and subscription status. A crafted bundle could promote a user to super_admin or rewrite another tenant's records. The endpoint is super-admin only, so this is an insider / compromised-account risk.</w:t>
      </w:r>
    </w:p>
    <w:p>
      <w:pPr>
        <w:pStyle w:val="ListParagraph"/>
        <w:numPr>
          <w:ilvl w:val="0"/>
          <w:numId w:val="2"/>
        </w:numPr>
        <w:spacing w:after="80" w:line="276"/>
      </w:pPr>
      <w:r>
        <w:t xml:space="preserve">Whitelist the columns a restore may modify; never accept role, is_active, subscription_status, or tenant_id from a bundle.</w:t>
      </w:r>
    </w:p>
    <w:p>
      <w:pPr>
        <w:pStyle w:val="ListParagraph"/>
        <w:numPr>
          <w:ilvl w:val="0"/>
          <w:numId w:val="2"/>
        </w:numPr>
        <w:spacing w:after="80" w:line="276"/>
      </w:pPr>
      <w:r>
        <w:t xml:space="preserve">Sign bundles on export and verify the signature on import to guarantee integrity.</w:t>
      </w:r>
    </w:p>
    <w:p>
      <w:pPr>
        <w:pStyle w:val="ListParagraph"/>
        <w:numPr>
          <w:ilvl w:val="0"/>
          <w:numId w:val="2"/>
        </w:numPr>
        <w:spacing w:after="80" w:line="276"/>
      </w:pPr>
      <w:r>
        <w:t xml:space="preserve">Write an audit-log entry for every restore, including a row-level diff.</w:t>
      </w:r>
    </w:p>
    <w:p>
      <w:pPr>
        <w:pStyle w:val="Heading2"/>
      </w:pPr>
      <w:r>
        <w:t xml:space="preserve">3.3  Encrypt secrets at rest</w:t>
      </w:r>
    </w:p>
    <w:p>
      <w:pPr>
        <w:spacing w:after="140" w:line="276"/>
      </w:pPr>
      <w:r>
        <w:t xml:space="preserve">The LLM connector API key and each user's TOTP MFA secret are stored unencrypted in the database. Anyone with database or backup access can read the key and recompute every user's MFA codes.</w:t>
      </w:r>
    </w:p>
    <w:p>
      <w:pPr>
        <w:pStyle w:val="ListParagraph"/>
        <w:numPr>
          <w:ilvl w:val="0"/>
          <w:numId w:val="2"/>
        </w:numPr>
        <w:spacing w:after="80" w:line="276"/>
      </w:pPr>
      <w:r>
        <w:t xml:space="preserve">Encrypt these columns with an application-managed key (e.g. Fernet) or a KMS-wrapped data key; decrypt only in memory at point of use.</w:t>
      </w:r>
    </w:p>
    <w:p>
      <w:pPr>
        <w:pStyle w:val="ListParagraph"/>
        <w:numPr>
          <w:ilvl w:val="0"/>
          <w:numId w:val="2"/>
        </w:numPr>
        <w:spacing w:after="80" w:line="276"/>
      </w:pPr>
      <w:r>
        <w:t xml:space="preserve">Rotate the LLM key after deploying the fix, since prior copies may exist in old backups.</w:t>
      </w:r>
    </w:p>
    <w:p>
      <w:pPr>
        <w:pStyle w:val="Heading2"/>
      </w:pPr>
      <w:r>
        <w:t xml:space="preserve">3.4  Rate-limit authentication endpoints</w:t>
      </w:r>
    </w:p>
    <w:p>
      <w:pPr>
        <w:spacing w:after="140" w:line="276"/>
      </w:pPr>
      <w:r>
        <w:t xml:space="preserve">Login, refresh, registration, verification, and MFA-verify endpoints have no rate limiting. Account lockout (three attempts per fifteen minutes) limits single-account brute force but does nothing against credential stuffing across many accounts or MFA-code brute forcing.</w:t>
      </w:r>
    </w:p>
    <w:p>
      <w:pPr>
        <w:pStyle w:val="ListParagraph"/>
        <w:numPr>
          <w:ilvl w:val="0"/>
          <w:numId w:val="2"/>
        </w:numPr>
        <w:spacing w:after="80" w:line="276"/>
      </w:pPr>
      <w:r>
        <w:t xml:space="preserve">Add per-IP rate limiting — either application-level (e.g. slowapi) or at nginx via limit_req — on all auth routes.</w:t>
      </w:r>
    </w:p>
    <w:p>
      <w:pPr>
        <w:pStyle w:val="ListParagraph"/>
        <w:numPr>
          <w:ilvl w:val="0"/>
          <w:numId w:val="2"/>
        </w:numPr>
        <w:spacing w:after="80" w:line="276"/>
      </w:pPr>
      <w:r>
        <w:t xml:space="preserve">Apply a stricter limit to the MFA-verify route specifically, since the code space is small.</w:t>
      </w:r>
    </w:p>
    <w:p>
      <w:pPr>
        <w:pStyle w:val="Heading2"/>
      </w:pPr>
      <w:r>
        <w:t xml:space="preserve">3.5  Selected Medium-severity hardening</w:t>
      </w:r>
    </w:p>
    <w:p>
      <w:pPr>
        <w:pStyle w:val="ListParagraph"/>
        <w:numPr>
          <w:ilvl w:val="0"/>
          <w:numId w:val="2"/>
        </w:numPr>
        <w:spacing w:after="80" w:line="276"/>
      </w:pPr>
      <w:r>
        <w:rPr>
          <w:b/>
          <w:bCs/>
        </w:rPr>
        <w:t xml:space="preserve">Access control: </w:t>
      </w:r>
      <w:r>
        <w:t xml:space="preserve">exclude the read-only viewer role from evidence, control, and self-assessment write endpoints; validate MSP role assignments against the target tenant type.</w:t>
      </w:r>
    </w:p>
    <w:p>
      <w:pPr>
        <w:pStyle w:val="ListParagraph"/>
        <w:numPr>
          <w:ilvl w:val="0"/>
          <w:numId w:val="2"/>
        </w:numPr>
        <w:spacing w:after="80" w:line="276"/>
      </w:pPr>
      <w:r>
        <w:rPr>
          <w:b/>
          <w:bCs/>
        </w:rPr>
        <w:t xml:space="preserve">Configuration: </w:t>
      </w:r>
      <w:r>
        <w:t xml:space="preserve">disable /docs and /openapi.json in production and narrow CORS methods/headers.</w:t>
      </w:r>
    </w:p>
    <w:p>
      <w:pPr>
        <w:pStyle w:val="ListParagraph"/>
        <w:numPr>
          <w:ilvl w:val="0"/>
          <w:numId w:val="2"/>
        </w:numPr>
        <w:spacing w:after="80" w:line="276"/>
      </w:pPr>
      <w:r>
        <w:rPr>
          <w:b/>
          <w:bCs/>
        </w:rPr>
        <w:t xml:space="preserve">Uploads: </w:t>
      </w:r>
      <w:r>
        <w:t xml:space="preserve">validate file content by magic bytes plus an extension allowlist; stop trusting the client-supplied content type. (python-magic is already installed.)</w:t>
      </w:r>
    </w:p>
    <w:p>
      <w:pPr>
        <w:pStyle w:val="ListParagraph"/>
        <w:numPr>
          <w:ilvl w:val="0"/>
          <w:numId w:val="2"/>
        </w:numPr>
        <w:spacing w:after="80" w:line="276"/>
      </w:pPr>
      <w:r>
        <w:rPr>
          <w:b/>
          <w:bCs/>
        </w:rPr>
        <w:t xml:space="preserve">Auth policy: </w:t>
      </w:r>
      <w:r>
        <w:t xml:space="preserve">raise the minimum password length to twelve with a breached-password check, and require MFA enrollment for all admin-capable roles, including client_admin.</w:t>
      </w:r>
    </w:p>
    <w:p>
      <w:pPr>
        <w:pStyle w:val="ListParagraph"/>
        <w:numPr>
          <w:ilvl w:val="0"/>
          <w:numId w:val="2"/>
        </w:numPr>
        <w:spacing w:after="80" w:line="276"/>
      </w:pPr>
      <w:r>
        <w:rPr>
          <w:b/>
          <w:bCs/>
        </w:rPr>
        <w:t xml:space="preserve">Logging: </w:t>
      </w:r>
      <w:r>
        <w:t xml:space="preserve">remove the verification-code and unlock-token print statements, or guard them strictly to non-production.</w:t>
      </w:r>
    </w:p>
    <w:p>
      <w:pPr>
        <w:pStyle w:val="Heading1"/>
      </w:pPr>
      <w:r>
        <w:t xml:space="preserve">4. Remediation roadmap</w:t>
      </w:r>
    </w:p>
    <w:p>
      <w:pPr>
        <w:spacing w:after="140" w:line="276"/>
      </w:pPr>
      <w:r>
        <w:t xml:space="preserve">A phased plan that front-loads risk reduction. Effort estimates assume one backend engineer familiar with the codebase.</w:t>
      </w:r>
    </w:p>
    <w:p>
      <w:pPr>
        <w:pStyle w:val="Heading2"/>
      </w:pPr>
      <w:r>
        <w:t xml:space="preserve">Phase 1 — Before broader rollout (target: 1–2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1700"/>
        <w:gridCol w:w="2060"/>
      </w:tblGrid>
      <w:tr>
        <w:trPr>
          <w:tblHeader/>
        </w:trPr>
        <w:tc>
          <w:tcPr>
            <w:tcW w:type="dxa" w:w="5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b/>
                <w:bCs/>
                <w:color w:val="FFFFFF"/>
                <w:sz w:val="19"/>
                <w:szCs w:val="19"/>
              </w:rPr>
              <w:t xml:space="preserve">Action</w:t>
            </w:r>
          </w:p>
        </w:tc>
        <w:tc>
          <w:tcPr>
            <w:tcW w:type="dxa" w:w="1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b/>
                <w:bCs/>
                <w:color w:val="FFFFFF"/>
                <w:sz w:val="19"/>
                <w:szCs w:val="19"/>
              </w:rPr>
              <w:t xml:space="preserve">Severity</w:t>
            </w:r>
          </w:p>
        </w:tc>
        <w:tc>
          <w:tcPr>
            <w:tcW w:type="dxa" w:w="20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b/>
                <w:bCs/>
                <w:color w:val="FFFFFF"/>
                <w:sz w:val="19"/>
                <w:szCs w:val="19"/>
              </w:rPr>
              <w:t xml:space="preserve">Effort</w:t>
            </w:r>
          </w:p>
        </w:tc>
      </w:tr>
      <w:tr>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Validate LLM connector URL against an allowlist + private-range block</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C0392B"/>
                <w:sz w:val="18"/>
                <w:szCs w:val="18"/>
              </w:rPr>
              <w:t xml:space="preserve">HIGH</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0.5–1 day</w:t>
            </w:r>
          </w:p>
        </w:tc>
      </w:tr>
      <w:tr>
        <w:tc>
          <w:tcPr>
            <w:tcW w:type="dxa" w:w="5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sz w:val="19"/>
                <w:szCs w:val="19"/>
              </w:rPr>
              <w:t xml:space="preserve">Whitelist restore columns; reject role/is_active/tenant_id</w:t>
            </w:r>
          </w:p>
        </w:tc>
        <w:tc>
          <w:tcPr>
            <w:tcW w:type="dxa" w:w="1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bCs/>
                <w:color w:val="C0392B"/>
                <w:sz w:val="18"/>
                <w:szCs w:val="18"/>
              </w:rPr>
              <w:t xml:space="preserve">HIGH</w:t>
            </w:r>
          </w:p>
        </w:tc>
        <w:tc>
          <w:tcPr>
            <w:tcW w:type="dxa" w:w="20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val="false"/>
                <w:bCs w:val="false"/>
                <w:sz w:val="19"/>
                <w:szCs w:val="19"/>
              </w:rPr>
              <w:t xml:space="preserve">1 day</w:t>
            </w:r>
          </w:p>
        </w:tc>
      </w:tr>
      <w:tr>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Encrypt api_key and mfa_secret at rest; rotate the LLM key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C0392B"/>
                <w:sz w:val="18"/>
                <w:szCs w:val="18"/>
              </w:rPr>
              <w:t xml:space="preserve">HIGH</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1–2 days</w:t>
            </w:r>
          </w:p>
        </w:tc>
      </w:tr>
      <w:tr>
        <w:tc>
          <w:tcPr>
            <w:tcW w:type="dxa" w:w="5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sz w:val="19"/>
                <w:szCs w:val="19"/>
              </w:rPr>
              <w:t xml:space="preserve">Add per-IP rate limiting on auth endpoints</w:t>
            </w:r>
          </w:p>
        </w:tc>
        <w:tc>
          <w:tcPr>
            <w:tcW w:type="dxa" w:w="1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bCs/>
                <w:color w:val="C0392B"/>
                <w:sz w:val="18"/>
                <w:szCs w:val="18"/>
              </w:rPr>
              <w:t xml:space="preserve">HIGH</w:t>
            </w:r>
          </w:p>
        </w:tc>
        <w:tc>
          <w:tcPr>
            <w:tcW w:type="dxa" w:w="20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val="false"/>
                <w:bCs w:val="false"/>
                <w:sz w:val="19"/>
                <w:szCs w:val="19"/>
              </w:rPr>
              <w:t xml:space="preserve">0.5–1 day</w:t>
            </w:r>
          </w:p>
        </w:tc>
      </w:tr>
    </w:tbl>
    <w:p>
      <w:pPr>
        <w:spacing w:after="140" w:line="276"/>
      </w:pPr>
      <w:r>
        <w:t xml:space="preserve"/>
      </w:r>
    </w:p>
    <w:p>
      <w:pPr>
        <w:pStyle w:val="Heading2"/>
      </w:pPr>
      <w:r>
        <w:t xml:space="preserve">Phase 2 — Near term (target: 2–4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1700"/>
        <w:gridCol w:w="2060"/>
      </w:tblGrid>
      <w:tr>
        <w:trPr>
          <w:tblHeader/>
        </w:trPr>
        <w:tc>
          <w:tcPr>
            <w:tcW w:type="dxa" w:w="5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b/>
                <w:bCs/>
                <w:color w:val="FFFFFF"/>
                <w:sz w:val="19"/>
                <w:szCs w:val="19"/>
              </w:rPr>
              <w:t xml:space="preserve">Action</w:t>
            </w:r>
          </w:p>
        </w:tc>
        <w:tc>
          <w:tcPr>
            <w:tcW w:type="dxa" w:w="1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b/>
                <w:bCs/>
                <w:color w:val="FFFFFF"/>
                <w:sz w:val="19"/>
                <w:szCs w:val="19"/>
              </w:rPr>
              <w:t xml:space="preserve">Severity</w:t>
            </w:r>
          </w:p>
        </w:tc>
        <w:tc>
          <w:tcPr>
            <w:tcW w:type="dxa" w:w="20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b/>
                <w:bCs/>
                <w:color w:val="FFFFFF"/>
                <w:sz w:val="19"/>
                <w:szCs w:val="19"/>
              </w:rPr>
              <w:t xml:space="preserve">Effort</w:t>
            </w:r>
          </w:p>
        </w:tc>
      </w:tr>
      <w:tr>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Enforce role on client write endpoints (exclude viewer)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B9770E"/>
                <w:sz w:val="18"/>
                <w:szCs w:val="18"/>
              </w:rPr>
              <w:t xml:space="preserve">MEDIUM</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0.5 day</w:t>
            </w:r>
          </w:p>
        </w:tc>
      </w:tr>
      <w:tr>
        <w:tc>
          <w:tcPr>
            <w:tcW w:type="dxa" w:w="5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sz w:val="19"/>
                <w:szCs w:val="19"/>
              </w:rPr>
              <w:t xml:space="preserve">Disable /docs &amp; /openapi.json in prod; tighten CORS</w:t>
            </w:r>
          </w:p>
        </w:tc>
        <w:tc>
          <w:tcPr>
            <w:tcW w:type="dxa" w:w="1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bCs/>
                <w:color w:val="B9770E"/>
                <w:sz w:val="18"/>
                <w:szCs w:val="18"/>
              </w:rPr>
              <w:t xml:space="preserve">MEDIUM</w:t>
            </w:r>
          </w:p>
        </w:tc>
        <w:tc>
          <w:tcPr>
            <w:tcW w:type="dxa" w:w="20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val="false"/>
                <w:bCs w:val="false"/>
                <w:sz w:val="19"/>
                <w:szCs w:val="19"/>
              </w:rPr>
              <w:t xml:space="preserve">0.5 day</w:t>
            </w:r>
          </w:p>
        </w:tc>
      </w:tr>
      <w:tr>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Magic-byte + extension validation on all uploads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B9770E"/>
                <w:sz w:val="18"/>
                <w:szCs w:val="18"/>
              </w:rPr>
              <w:t xml:space="preserve">MEDIUM</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1 day</w:t>
            </w:r>
          </w:p>
        </w:tc>
      </w:tr>
      <w:tr>
        <w:tc>
          <w:tcPr>
            <w:tcW w:type="dxa" w:w="5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sz w:val="19"/>
                <w:szCs w:val="19"/>
              </w:rPr>
              <w:t xml:space="preserve">Strengthen password policy; broaden MFA enforcement</w:t>
            </w:r>
          </w:p>
        </w:tc>
        <w:tc>
          <w:tcPr>
            <w:tcW w:type="dxa" w:w="1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bCs/>
                <w:color w:val="B9770E"/>
                <w:sz w:val="18"/>
                <w:szCs w:val="18"/>
              </w:rPr>
              <w:t xml:space="preserve">MEDIUM</w:t>
            </w:r>
          </w:p>
        </w:tc>
        <w:tc>
          <w:tcPr>
            <w:tcW w:type="dxa" w:w="20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val="false"/>
                <w:bCs w:val="false"/>
                <w:sz w:val="19"/>
                <w:szCs w:val="19"/>
              </w:rPr>
              <w:t xml:space="preserve">1 day</w:t>
            </w:r>
          </w:p>
        </w:tc>
      </w:tr>
      <w:tr>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Remove sensitive print() logging; sign backup bundles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B9770E"/>
                <w:sz w:val="18"/>
                <w:szCs w:val="18"/>
              </w:rPr>
              <w:t xml:space="preserve">MEDIUM</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0.5–1 day</w:t>
            </w:r>
          </w:p>
        </w:tc>
      </w:tr>
      <w:tr>
        <w:tc>
          <w:tcPr>
            <w:tcW w:type="dxa" w:w="5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sz w:val="19"/>
                <w:szCs w:val="19"/>
              </w:rPr>
              <w:t xml:space="preserve">Audit-log destructive ops + fix MSP cross-tier role check</w:t>
            </w:r>
          </w:p>
        </w:tc>
        <w:tc>
          <w:tcPr>
            <w:tcW w:type="dxa" w:w="1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bCs/>
                <w:color w:val="B9770E"/>
                <w:sz w:val="18"/>
                <w:szCs w:val="18"/>
              </w:rPr>
              <w:t xml:space="preserve">MEDIUM</w:t>
            </w:r>
          </w:p>
        </w:tc>
        <w:tc>
          <w:tcPr>
            <w:tcW w:type="dxa" w:w="20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val="false"/>
                <w:bCs w:val="false"/>
                <w:sz w:val="19"/>
                <w:szCs w:val="19"/>
              </w:rPr>
              <w:t xml:space="preserve">1 day</w:t>
            </w:r>
          </w:p>
        </w:tc>
      </w:tr>
    </w:tbl>
    <w:p>
      <w:pPr>
        <w:spacing w:after="140" w:line="276"/>
      </w:pPr>
      <w:r>
        <w:t xml:space="preserve"/>
      </w:r>
    </w:p>
    <w:p>
      <w:pPr>
        <w:pStyle w:val="Heading2"/>
      </w:pPr>
      <w:r>
        <w:t xml:space="preserve">Phase 3 — Hardening backlog (target: as capacity allows)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1700"/>
        <w:gridCol w:w="2060"/>
      </w:tblGrid>
      <w:tr>
        <w:trPr>
          <w:tblHeader/>
        </w:trPr>
        <w:tc>
          <w:tcPr>
            <w:tcW w:type="dxa" w:w="5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b/>
                <w:bCs/>
                <w:color w:val="FFFFFF"/>
                <w:sz w:val="19"/>
                <w:szCs w:val="19"/>
              </w:rPr>
              <w:t xml:space="preserve">Action</w:t>
            </w:r>
          </w:p>
        </w:tc>
        <w:tc>
          <w:tcPr>
            <w:tcW w:type="dxa" w:w="1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b/>
                <w:bCs/>
                <w:color w:val="FFFFFF"/>
                <w:sz w:val="19"/>
                <w:szCs w:val="19"/>
              </w:rPr>
              <w:t xml:space="preserve">Severity</w:t>
            </w:r>
          </w:p>
        </w:tc>
        <w:tc>
          <w:tcPr>
            <w:tcW w:type="dxa" w:w="20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b/>
                <w:bCs/>
                <w:color w:val="FFFFFF"/>
                <w:sz w:val="19"/>
                <w:szCs w:val="19"/>
              </w:rPr>
              <w:t xml:space="preserve">Effort</w:t>
            </w:r>
          </w:p>
        </w:tc>
      </w:tr>
      <w:tr>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Add HSTS / CSP / X-Frame-Options headers at Caddy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1E8449"/>
                <w:sz w:val="18"/>
                <w:szCs w:val="18"/>
              </w:rPr>
              <w:t xml:space="preserve">LOW</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0.5 day</w:t>
            </w:r>
          </w:p>
        </w:tc>
      </w:tr>
      <w:tr>
        <w:tc>
          <w:tcPr>
            <w:tcW w:type="dxa" w:w="5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sz w:val="19"/>
                <w:szCs w:val="19"/>
              </w:rPr>
              <w:t xml:space="preserve">Refresh-token revocation list; invalidate on password change</w:t>
            </w:r>
          </w:p>
        </w:tc>
        <w:tc>
          <w:tcPr>
            <w:tcW w:type="dxa" w:w="1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bCs/>
                <w:color w:val="1E8449"/>
                <w:sz w:val="18"/>
                <w:szCs w:val="18"/>
              </w:rPr>
              <w:t xml:space="preserve">LOW</w:t>
            </w:r>
          </w:p>
        </w:tc>
        <w:tc>
          <w:tcPr>
            <w:tcW w:type="dxa" w:w="20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val="false"/>
                <w:bCs w:val="false"/>
                <w:sz w:val="19"/>
                <w:szCs w:val="19"/>
              </w:rPr>
              <w:t xml:space="preserve">1–2 days</w:t>
            </w:r>
          </w:p>
        </w:tc>
      </w:tr>
      <w:tr>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Uniform login responses to remove user enumeration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1E8449"/>
                <w:sz w:val="18"/>
                <w:szCs w:val="18"/>
              </w:rPr>
              <w:t xml:space="preserve">LOW</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0.5 day</w:t>
            </w:r>
          </w:p>
        </w:tc>
      </w:tr>
      <w:tr>
        <w:tc>
          <w:tcPr>
            <w:tcW w:type="dxa" w:w="5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sz w:val="19"/>
                <w:szCs w:val="19"/>
              </w:rPr>
              <w:t xml:space="preserve">Migrate python-jose → PyJWT</w:t>
            </w:r>
          </w:p>
        </w:tc>
        <w:tc>
          <w:tcPr>
            <w:tcW w:type="dxa" w:w="1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bCs/>
                <w:color w:val="1E8449"/>
                <w:sz w:val="18"/>
                <w:szCs w:val="18"/>
              </w:rPr>
              <w:t xml:space="preserve">LOW</w:t>
            </w:r>
          </w:p>
        </w:tc>
        <w:tc>
          <w:tcPr>
            <w:tcW w:type="dxa" w:w="20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val="false"/>
                <w:bCs w:val="false"/>
                <w:sz w:val="19"/>
                <w:szCs w:val="19"/>
              </w:rPr>
              <w:t xml:space="preserve">0.5 day</w:t>
            </w:r>
          </w:p>
        </w:tc>
      </w:tr>
      <w:tr>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Tighten storage key sanitization (Windows path edge cases)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1E8449"/>
                <w:sz w:val="18"/>
                <w:szCs w:val="18"/>
              </w:rPr>
              <w:t xml:space="preserve">LOW</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0.5 day</w:t>
            </w:r>
          </w:p>
        </w:tc>
      </w:tr>
    </w:tbl>
    <w:p>
      <w:pPr>
        <w:pStyle w:val="Heading1"/>
      </w:pPr>
      <w:r>
        <w:t xml:space="preserve">5. Next steps</w:t>
      </w:r>
    </w:p>
    <w:p>
      <w:pPr>
        <w:pStyle w:val="ListParagraph"/>
        <w:numPr>
          <w:ilvl w:val="0"/>
          <w:numId w:val="3"/>
        </w:numPr>
        <w:spacing w:after="80" w:line="276"/>
      </w:pPr>
      <w:r>
        <w:rPr>
          <w:b/>
          <w:bCs/>
        </w:rPr>
        <w:t xml:space="preserve">Approve Phase 1 scope</w:t>
      </w:r>
      <w:r>
        <w:t xml:space="preserve"> and schedule the four High-severity fixes as a single hardening sprint.</w:t>
      </w:r>
    </w:p>
    <w:p>
      <w:pPr>
        <w:pStyle w:val="ListParagraph"/>
        <w:numPr>
          <w:ilvl w:val="0"/>
          <w:numId w:val="3"/>
        </w:numPr>
        <w:spacing w:after="80" w:line="276"/>
      </w:pPr>
      <w:r>
        <w:rPr>
          <w:b/>
          <w:bCs/>
        </w:rPr>
        <w:t xml:space="preserve">Implement and deploy Phase 1</w:t>
      </w:r>
      <w:r>
        <w:t xml:space="preserve"> — these are small, well-contained changes; I can implement them directly on request, starting with the SSRF guard and restore whitelist.</w:t>
      </w:r>
    </w:p>
    <w:p>
      <w:pPr>
        <w:pStyle w:val="ListParagraph"/>
        <w:numPr>
          <w:ilvl w:val="0"/>
          <w:numId w:val="3"/>
        </w:numPr>
        <w:spacing w:after="80" w:line="276"/>
      </w:pPr>
      <w:r>
        <w:rPr>
          <w:b/>
          <w:bCs/>
        </w:rPr>
        <w:t xml:space="preserve">Verify each fix</w:t>
      </w:r>
      <w:r>
        <w:t xml:space="preserve"> with a targeted test (SSRF block, restore column rejection, secret-at-rest check, auth throttling) before closing the item.</w:t>
      </w:r>
    </w:p>
    <w:p>
      <w:pPr>
        <w:pStyle w:val="ListParagraph"/>
        <w:numPr>
          <w:ilvl w:val="0"/>
          <w:numId w:val="3"/>
        </w:numPr>
        <w:spacing w:after="80" w:line="276"/>
      </w:pPr>
      <w:r>
        <w:rPr>
          <w:b/>
          <w:bCs/>
        </w:rPr>
        <w:t xml:space="preserve">Plan the accredited third-party penetration test</w:t>
      </w:r>
      <w:r>
        <w:t xml:space="preserve"> required for CMMC, ideally after Phase 1 so the engagement validates the hardened state.</w:t>
      </w:r>
    </w:p>
    <w:p>
      <w:pPr>
        <w:pStyle w:val="ListParagraph"/>
        <w:numPr>
          <w:ilvl w:val="0"/>
          <w:numId w:val="3"/>
        </w:numPr>
        <w:spacing w:after="80" w:line="276"/>
      </w:pPr>
      <w:r>
        <w:rPr>
          <w:b/>
          <w:bCs/>
        </w:rPr>
        <w:t xml:space="preserve">Schedule a recurring review</w:t>
      </w:r>
      <w:r>
        <w:t xml:space="preserve"> — re-run this code/config audit each release, and keep the dependency CVE pins current.</w:t>
      </w:r>
    </w:p>
    <w:p>
      <w:pPr>
        <w:spacing w:after="140" w:line="276"/>
      </w:pPr>
      <w:r>
        <w:t xml:space="preserve"/>
      </w:r>
    </w:p>
    <w:p>
      <w:pPr>
        <w:spacing w:after="140" w:line="276"/>
      </w:pPr>
      <w:r>
        <w:rPr>
          <w:i/>
          <w:iCs/>
          <w:color w:val="555555"/>
        </w:rPr>
        <w:t xml:space="preserve">Companion file: </w:t>
      </w:r>
      <w:r>
        <w:rPr>
          <w:b/>
          <w:bCs/>
          <w:i/>
          <w:iCs/>
          <w:color w:val="555555"/>
        </w:rPr>
        <w:t xml:space="preserve">SECURITY_REVIEW.md</w:t>
      </w:r>
      <w:r>
        <w:rPr>
          <w:i/>
          <w:iCs/>
          <w:color w:val="555555"/>
        </w:rPr>
        <w:t xml:space="preserve"> contains the full technical findings with file paths, line numbers, and code evidence for each item above.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Confidential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888888"/>
        <w:sz w:val="16"/>
        <w:szCs w:val="16"/>
      </w:rPr>
      <w:t xml:space="preserve">EVA Comply  •  Security Review &amp; Remediation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FA3" w:sz="6" w:space="4"/>
      </w:pBdr>
      <w:spacing w:after="160" w:before="320"/>
      <w:outlineLvl w:val="0"/>
    </w:pPr>
    <w:rPr>
      <w:rFonts w:ascii="Arial" w:cs="Arial" w:eastAsia="Arial" w:hAnsi="Arial"/>
      <w:b/>
      <w:bCs/>
      <w:color w:val="1B3A6B"/>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2026-06-23T13:36:30.134Z</dcterms:created>
  <dcterms:modified xsi:type="dcterms:W3CDTF">2026-06-23T13:36:30.134Z</dcterms:modified>
</cp:coreProperties>
</file>

<file path=docProps/custom.xml><?xml version="1.0" encoding="utf-8"?>
<Properties xmlns="http://schemas.openxmlformats.org/officeDocument/2006/custom-properties" xmlns:vt="http://schemas.openxmlformats.org/officeDocument/2006/docPropsVTypes"/>
</file>