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1A8FD1"/>
          <w:sz w:val="30"/>
          <w:szCs w:val="30"/>
        </w:rPr>
        <w:t xml:space="preserve">EVA Comply</w:t>
      </w:r>
    </w:p>
    <w:p>
      <w:pPr>
        <w:spacing w:after="0" w:before="200"/>
      </w:pPr>
      <w:r>
        <w:rPr>
          <w:b/>
          <w:bCs/>
          <w:color w:val="0D2A43"/>
          <w:sz w:val="48"/>
          <w:szCs w:val="48"/>
        </w:rPr>
        <w:t xml:space="preserve">How Maturity Is Calculated</w:t>
      </w:r>
    </w:p>
    <w:p>
      <w:pPr>
        <w:spacing w:after="0" w:before="160"/>
      </w:pPr>
      <w:r>
        <w:rPr>
          <w:color w:val="5A6B7B"/>
          <w:sz w:val="25"/>
          <w:szCs w:val="25"/>
        </w:rPr>
        <w:t xml:space="preserve">A plain-language guide to your maturity score</w:t>
      </w:r>
    </w:p>
    <w:p>
      <w:pPr>
        <w:spacing w:before="600"/>
      </w:pPr>
      <w:r>
        <w:rPr>
          <w:i/>
          <w:iCs/>
          <w:color w:val="5A6B7B"/>
          <w:sz w:val="20"/>
          <w:szCs w:val="20"/>
        </w:rPr>
        <w:t xml:space="preserve">Client edition.</w:t>
      </w:r>
    </w:p>
    <w:p>
      <w:pPr>
        <w:spacing w:before="120"/>
      </w:pPr>
      <w:r>
        <w:rPr>
          <w:color w:val="5A6B7B"/>
          <w:sz w:val="20"/>
          <w:szCs w:val="20"/>
        </w:rPr>
        <w:t xml:space="preserve">Version 1.0  ·  June 2026</w:t>
      </w:r>
    </w:p>
    <w:p>
      <w:r>
        <w:br w:type="page"/>
      </w:r>
    </w:p>
    <w:p>
      <w:pPr>
        <w:pStyle w:val="Heading1"/>
      </w:pPr>
      <w:r>
        <w:t xml:space="preserve">1. The idea in one sentence</w:t>
      </w:r>
    </w:p>
    <w:p>
      <w:pPr>
        <w:spacing w:after="140" w:line="276"/>
      </w:pPr>
      <w:r>
        <w:rPr>
          <w:sz w:val="22"/>
          <w:szCs w:val="22"/>
        </w:rPr>
        <w:t xml:space="preserve">Maturity answers a simple question for every area of a framework: how completely, and how reliably, are the required controls actually in place? We show it on a 0 to 5 scale, the same five-rung ladder used across cybersecurity maturity models, and we calculate it from real audit evidence rather than from opinion.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9EC" w:sz="1"/>
              <w:left w:val="single" w:color="1A8FD1" w:sz="18"/>
              <w:bottom w:val="single" w:color="BBD9EC" w:sz="1"/>
              <w:right w:val="single" w:color="BBD9EC" w:sz="1"/>
            </w:tcBorders>
            <w:shd w:fill="EEF6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2A43"/>
                <w:sz w:val="22"/>
                <w:szCs w:val="22"/>
              </w:rPr>
              <w:t xml:space="preserve">The core principle</w:t>
            </w:r>
          </w:p>
          <w:p>
            <w:pPr>
              <w:spacing w:after="40" w:line="268"/>
            </w:pPr>
            <w:r>
              <w:rPr>
                <w:sz w:val="21"/>
                <w:szCs w:val="21"/>
              </w:rPr>
              <w:t xml:space="preserve">Assessed maturity is earned, not entered. A domain’s score rises only as the controls inside it are verified by evidence. This keeps the number defensible: every point traces back to controls that were actually demonstrated.</w:t>
            </w:r>
          </w:p>
        </w:tc>
      </w:tr>
    </w:tbl>
    <w:p>
      <w:pPr>
        <w:pStyle w:val="Heading1"/>
      </w:pPr>
      <w:r>
        <w:t xml:space="preserve">2. The 0 to 5 maturity scale</w:t>
      </w:r>
    </w:p>
    <w:p>
      <w:pPr>
        <w:spacing w:after="140" w:line="276"/>
      </w:pPr>
      <w:r>
        <w:rPr>
          <w:sz w:val="22"/>
          <w:szCs w:val="22"/>
        </w:rPr>
        <w:t xml:space="preserve">Every rating, whether assessed by EVA or perceived by you, sits on the same ladder, so the two can be compared directly on one chart.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Name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Optimized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Formal, organization-wide, and continuously improved; fully implemented across all systems and reviewed regularly.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 and monitored for critical systems; nearly complete, with only minor gaps.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Documented and applied consistently for key systems and areas.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Informal or ad hoc; partial and inconsistent coverage.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process or capability in place for this control.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Assessed value only: no control in this domain is verified yet.</w:t>
            </w:r>
          </w:p>
        </w:tc>
      </w:tr>
    </w:tbl>
    <w:p>
      <w:pPr>
        <w:spacing w:after="140" w:line="276"/>
      </w:pPr>
      <w:r>
        <w:rPr>
          <w:i/>
          <w:iCs/>
          <w:sz w:val="22"/>
          <w:szCs w:val="22"/>
        </w:rPr>
        <w:t xml:space="preserve">The default improvement Target is level 4 (Managed): solid, monitored coverage of what matters, a realistic and audit-ready objective for most organizations. Targets can be raised or lowered per domain.</w:t>
      </w:r>
    </w:p>
    <w:p>
      <w:pPr>
        <w:pStyle w:val="Heading1"/>
      </w:pPr>
      <w:r>
        <w:t xml:space="preserve">3. The four numbers we track for each domain</w:t>
      </w:r>
    </w:p>
    <w:p>
      <w:pPr>
        <w:spacing w:after="140" w:line="276"/>
      </w:pPr>
      <w:r>
        <w:rPr>
          <w:sz w:val="22"/>
          <w:szCs w:val="22"/>
        </w:rPr>
        <w:t xml:space="preserve">A framework (for example CMMC 2.0) is divided into domains (Access Control, Incident Response, and so on). For each domain we keep up to four readings, all on the same 0 to 5 scale: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Assessed (Current) </w:t>
      </w:r>
      <w:r>
        <w:rPr>
          <w:sz w:val="22"/>
          <w:szCs w:val="22"/>
        </w:rPr>
        <w:t xml:space="preserve">the evidence-based score EVA calculates from how many controls are verified. This is the headline maturity number.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Perceived </w:t>
      </w:r>
      <w:r>
        <w:rPr>
          <w:sz w:val="22"/>
          <w:szCs w:val="22"/>
        </w:rPr>
        <w:t xml:space="preserve">your own self-rating, captured through the maturity questionnaire. It shows how your organization sees itself.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Target </w:t>
      </w:r>
      <w:r>
        <w:rPr>
          <w:sz w:val="22"/>
          <w:szCs w:val="22"/>
        </w:rPr>
        <w:t xml:space="preserve">where the domain should be (default level 4). The distance to target drives the risk score and the roadmap.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Previous </w:t>
      </w:r>
      <w:r>
        <w:rPr>
          <w:sz w:val="22"/>
          <w:szCs w:val="22"/>
        </w:rPr>
        <w:t xml:space="preserve">the assessed level frozen at the last snapshot, so progress over time is visible.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9EC" w:sz="1"/>
              <w:left w:val="single" w:color="1A8FD1" w:sz="18"/>
              <w:bottom w:val="single" w:color="BBD9EC" w:sz="1"/>
              <w:right w:val="single" w:color="BBD9EC" w:sz="1"/>
            </w:tcBorders>
            <w:shd w:fill="EEF6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2A43"/>
                <w:sz w:val="22"/>
                <w:szCs w:val="22"/>
              </w:rPr>
              <w:t xml:space="preserve">Why both Assessed and Perceived?</w:t>
            </w:r>
          </w:p>
          <w:p>
            <w:pPr>
              <w:spacing w:after="40" w:line="268"/>
            </w:pPr>
            <w:r>
              <w:rPr>
                <w:sz w:val="21"/>
                <w:szCs w:val="21"/>
              </w:rPr>
              <w:t xml:space="preserve">The gap between the two is one of the most useful signals. When an organization perceives itself well above its assessed score, it usually points to a blind spot, or to controls believed to be in place but not yet evidenced.</w:t>
            </w:r>
          </w:p>
        </w:tc>
      </w:tr>
    </w:tbl>
    <w:p>
      <w:pPr>
        <w:pStyle w:val="Heading1"/>
      </w:pPr>
      <w:r>
        <w:t xml:space="preserve">4. How the Assessed (Current) level is calculated</w:t>
      </w:r>
    </w:p>
    <w:p>
      <w:pPr>
        <w:spacing w:after="140" w:line="276"/>
      </w:pPr>
      <w:r>
        <w:rPr>
          <w:sz w:val="22"/>
          <w:szCs w:val="22"/>
        </w:rPr>
        <w:t xml:space="preserve">This is the heart of the method. For a given domain we look at every control you are subscribed to in that domain, and count how many are compliant.</w:t>
      </w:r>
    </w:p>
    <w:p>
      <w:pPr>
        <w:pStyle w:val="Heading2"/>
      </w:pPr>
      <w:r>
        <w:t xml:space="preserve">Step 1 — When is a control "compliant"?</w:t>
      </w:r>
    </w:p>
    <w:p>
      <w:pPr>
        <w:spacing w:after="140" w:line="276"/>
      </w:pPr>
      <w:r>
        <w:rPr>
          <w:sz w:val="22"/>
          <w:szCs w:val="22"/>
        </w:rPr>
        <w:t xml:space="preserve">A control becomes compliant when its required evidence is in and accepted: all of its expected evidence items are accepted and none have been sent back for rework. A reviewer can also confirm a control’s status manually (for example, accepting a compensating control). In short, compliant means demonstrated, not merely claimed.</w:t>
      </w:r>
    </w:p>
    <w:p>
      <w:pPr>
        <w:pStyle w:val="Heading2"/>
      </w:pPr>
      <w:r>
        <w:t xml:space="preserve">Step 2 — Convert the compliance ratio to a 0 to 5 level</w:t>
      </w:r>
    </w:p>
    <w:p>
      <w:pPr>
        <w:spacing w:after="140" w:line="276"/>
      </w:pPr>
      <w:r>
        <w:rPr>
          <w:sz w:val="22"/>
          <w:szCs w:val="22"/>
        </w:rPr>
        <w:t xml:space="preserve">Within the domain we take the share of controls that are compliant and place it on the 0 to 5 scale: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domain level = round( compliant controls / total controls × 5 )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So a domain where 8 of 10 controls are verified scores round(0.8 × 5) = 4 (Managed). A domain with nothing verified scores 0; everything verified scores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Compliant in 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Assessed level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 of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 of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 of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of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 of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40" w:line="276"/>
      </w:pPr>
      <w:r>
        <w:rPr>
          <w:i/>
          <w:iCs/>
          <w:sz w:val="22"/>
          <w:szCs w:val="22"/>
        </w:rPr>
        <w:t xml:space="preserve">This value updates on its own as evidence is accepted, so the maturity picture stays current without anyone re-scoring it by hand. An EVA or MSP reviewer can also adjust a domain’s level or its target when expert judgment calls for it, and any such adjustment is clearly flagged.</w:t>
      </w:r>
    </w:p>
    <w:p>
      <w:pPr>
        <w:pStyle w:val="Heading1"/>
      </w:pPr>
      <w:r>
        <w:t xml:space="preserve">5. How the Perceived level is calculated</w:t>
      </w:r>
    </w:p>
    <w:p>
      <w:pPr>
        <w:spacing w:after="140" w:line="276"/>
      </w:pPr>
      <w:r>
        <w:rPr>
          <w:sz w:val="22"/>
          <w:szCs w:val="22"/>
        </w:rPr>
        <w:t xml:space="preserve">Perceived maturity comes from your answers to the maturity questionnaire. Each control carries a question whose five answer choices map exactly onto the 0 to 5 ladder (None through Optimized). The perceived level for a domain is simply the average of the levels you selected for the controls in that domain.</w:t>
      </w:r>
    </w:p>
    <w:p>
      <w:pPr>
        <w:spacing w:after="140" w:line="276"/>
      </w:pPr>
      <w:r>
        <w:rPr>
          <w:sz w:val="22"/>
          <w:szCs w:val="22"/>
        </w:rPr>
        <w:t xml:space="preserve">Only answered controls count; unanswered ones are ignored rather than treated as zero, so a partially completed self-assessment is not unfairly penalized.</w:t>
      </w:r>
    </w:p>
    <w:p>
      <w:pPr>
        <w:pStyle w:val="Heading1"/>
      </w:pPr>
      <w:r>
        <w:t xml:space="preserve">6. The risk score</w:t>
      </w:r>
    </w:p>
    <w:p>
      <w:pPr>
        <w:spacing w:after="140" w:line="276"/>
      </w:pPr>
      <w:r>
        <w:rPr>
          <w:sz w:val="22"/>
          <w:szCs w:val="22"/>
        </w:rPr>
        <w:t xml:space="preserve">Maturity tells you where you are; the risk score tells you how much the remaining gap matters. It weights each domain’s shortfall by the severity of the controls in it, because falling short on a critical domain is not the same as falling short on a low-risk one.</w:t>
      </w:r>
    </w:p>
    <w:p>
      <w:pPr>
        <w:spacing w:after="140" w:line="276"/>
      </w:pPr>
      <w:r>
        <w:rPr>
          <w:sz w:val="22"/>
          <w:szCs w:val="22"/>
        </w:rPr>
        <w:t xml:space="preserve">Each domain takes the highest severity it contains (Critical = 4, High = 3, Medium = 2, Low = 1) as its weight, and its gap is how far it sits below target (never negative). The framework risk score combines every domain’s weighted gap into a single 0 to 100% figure: 0% means every domain has reached its target; higher values flag concentrations of high-severity, low-maturity domains.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risk score (%) = round( Σ (gap × weight) / Σ (4 × weight) × 100 )</w:t>
            </w:r>
          </w:p>
        </w:tc>
      </w:tr>
    </w:tbl>
    <w:p>
      <w:pPr>
        <w:pStyle w:val="Heading1"/>
      </w:pPr>
      <w:r>
        <w:t xml:space="preserve">7. From domain to framework to organization</w:t>
      </w:r>
    </w:p>
    <w:p>
      <w:pPr>
        <w:spacing w:after="140" w:line="276"/>
      </w:pPr>
      <w:r>
        <w:rPr>
          <w:sz w:val="22"/>
          <w:szCs w:val="22"/>
        </w:rPr>
        <w:t xml:space="preserve">The scores aggregate in three layers, each a clear average: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Domain level — calculated from the compliance ratio (section 4).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Framework overall — the average of its domain levels.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Organization overall — the average across every framework you are subscribed to. The organization-level gap is Perceived minus Assessed.</w:t>
      </w:r>
    </w:p>
    <w:p>
      <w:pPr>
        <w:pStyle w:val="Heading1"/>
      </w:pPr>
      <w:r>
        <w:t xml:space="preserve">8. Tracking progress over time</w:t>
      </w:r>
    </w:p>
    <w:p>
      <w:pPr>
        <w:spacing w:after="140" w:line="276"/>
      </w:pPr>
      <w:r>
        <w:rPr>
          <w:sz w:val="22"/>
          <w:szCs w:val="22"/>
        </w:rPr>
        <w:t xml:space="preserve">A reviewer can take a dated snapshot of a framework, which freezes each domain’s current level as a labeled baseline. From then on, the platform shows that baseline as the Previous series next to the live Current value, so improvement since the last review is visible at a glance.</w:t>
      </w:r>
    </w:p>
    <w:p>
      <w:pPr>
        <w:pStyle w:val="Heading1"/>
      </w:pPr>
      <w:r>
        <w:t xml:space="preserve">9. Worked example</w:t>
      </w:r>
    </w:p>
    <w:p>
      <w:pPr>
        <w:spacing w:after="140" w:line="276"/>
      </w:pPr>
      <w:r>
        <w:rPr>
          <w:sz w:val="22"/>
          <w:szCs w:val="22"/>
        </w:rPr>
        <w:t xml:space="preserve">Consider a CMMC 2.0 assessment with three domains: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Domain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Verified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Assessed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Target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12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 / 10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Awareness &amp; Training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 / 8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Framework overall Assessed = average(4, 2, 3) = 3.0, against a Target of 4.0.</w:t>
      </w:r>
    </w:p>
    <w:p>
      <w:pPr>
        <w:spacing w:after="140" w:line="276"/>
      </w:pPr>
      <w:r>
        <w:rPr>
          <w:sz w:val="22"/>
          <w:szCs w:val="22"/>
        </w:rPr>
        <w:t xml:space="preserve">Weighted gaps: Access Control 0×4 = 0; Incident Response 2×3 = 6; Awareness 1×1 = 1. Risk score = round((0+6+1) / (4×(4+3+1)) × 100) = </w:t>
      </w:r>
      <w:r>
        <w:rPr>
          <w:b/>
          <w:bCs/>
          <w:color w:val="0D2A43"/>
          <w:sz w:val="22"/>
          <w:szCs w:val="22"/>
        </w:rPr>
        <w:t xml:space="preserve">22%</w:t>
      </w:r>
      <w:r>
        <w:rPr>
          <w:sz w:val="22"/>
          <w:szCs w:val="22"/>
        </w:rPr>
        <w:t xml:space="preserve">.</w:t>
      </w:r>
    </w:p>
    <w:p>
      <w:pPr>
        <w:spacing w:after="140" w:line="276"/>
      </w:pPr>
      <w:r>
        <w:rPr>
          <w:i/>
          <w:iCs/>
          <w:sz w:val="22"/>
          <w:szCs w:val="22"/>
        </w:rPr>
        <w:t xml:space="preserve">The reading: overall maturity is solid at 3.0 of 5, but the residual risk concentrates in Incident Response, a high-severity domain still well below target. That is where the roadmap should focus next.</w:t>
      </w:r>
    </w:p>
    <w:p>
      <w:pPr>
        <w:pStyle w:val="Heading1"/>
      </w:pPr>
      <w:r>
        <w:t xml:space="preserve">10. Why this approach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Evidence-driven and defensible. </w:t>
      </w:r>
      <w:r>
        <w:rPr>
          <w:sz w:val="22"/>
          <w:szCs w:val="22"/>
        </w:rPr>
        <w:t xml:space="preserve">The assessed score moves only when controls are verified, so it stands up to external audit scrutiny.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Standard and familiar. </w:t>
      </w:r>
      <w:r>
        <w:rPr>
          <w:sz w:val="22"/>
          <w:szCs w:val="22"/>
        </w:rPr>
        <w:t xml:space="preserve">The 0 to 5 ladder mirrors widely used maturity models, so it is easy to understand.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Self-maintaining. </w:t>
      </w:r>
      <w:r>
        <w:rPr>
          <w:sz w:val="22"/>
          <w:szCs w:val="22"/>
        </w:rPr>
        <w:t xml:space="preserve">Because the score derives from evidence, the maturity picture stays current with no manual re-scoring.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Risk-aware. </w:t>
      </w:r>
      <w:r>
        <w:rPr>
          <w:sz w:val="22"/>
          <w:szCs w:val="22"/>
        </w:rPr>
        <w:t xml:space="preserve">Severity weighting sends attention to the gaps that carry real exposure.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Honest about perception. </w:t>
      </w:r>
      <w:r>
        <w:rPr>
          <w:sz w:val="22"/>
          <w:szCs w:val="22"/>
        </w:rPr>
        <w:t xml:space="preserve">Tracking perceived alongside assessed reveals blind spots a single number would hide.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B"/>
        <w:sz w:val="16"/>
        <w:szCs w:val="16"/>
      </w:rPr>
      <w:t xml:space="preserve">Page </w:t>
    </w:r>
    <w:r>
      <w:rPr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2EC" w:sz="4" w:space="4"/>
      </w:pBdr>
      <w:jc w:val="right"/>
    </w:pPr>
    <w:r>
      <w:rPr>
        <w:color w:val="5A6B7B"/>
        <w:sz w:val="16"/>
        <w:szCs w:val="16"/>
      </w:rPr>
      <w:t xml:space="preserve">EVA Comply  ·  How Maturity Is Calculated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8FD1" w:sz="6" w:space="4"/>
      </w:pBdr>
      <w:spacing w:after="160" w:before="320"/>
      <w:outlineLvl w:val="0"/>
    </w:pPr>
    <w:rPr>
      <w:rFonts w:ascii="Arial" w:cs="Arial" w:eastAsia="Arial" w:hAnsi="Arial"/>
      <w:b/>
      <w:bCs/>
      <w:color w:val="0D2A4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8FD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 Comply  ·  How Maturity Is Calculated</dc:title>
  <dc:creator>EVA Comply</dc:creator>
  <cp:lastModifiedBy>Un-named</cp:lastModifiedBy>
  <cp:revision>1</cp:revision>
  <dcterms:created xsi:type="dcterms:W3CDTF">2026-06-25T15:41:39.422Z</dcterms:created>
  <dcterms:modified xsi:type="dcterms:W3CDTF">2026-06-25T15:41:39.423Z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