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A8FD1"/>
          <w:sz w:val="30"/>
          <w:szCs w:val="30"/>
        </w:rPr>
        <w:t xml:space="preserve">EVA Comply</w:t>
      </w:r>
    </w:p>
    <w:p>
      <w:pPr>
        <w:spacing w:after="0" w:before="200"/>
      </w:pPr>
      <w:r>
        <w:rPr>
          <w:b/>
          <w:bCs/>
          <w:color w:val="0D2A43"/>
          <w:sz w:val="48"/>
          <w:szCs w:val="48"/>
        </w:rPr>
        <w:t xml:space="preserve">Comment la maturité est calculée</w:t>
      </w:r>
    </w:p>
    <w:p>
      <w:pPr>
        <w:spacing w:after="0" w:before="160"/>
      </w:pPr>
      <w:r>
        <w:rPr>
          <w:color w:val="5A6B7B"/>
          <w:sz w:val="25"/>
          <w:szCs w:val="25"/>
        </w:rPr>
        <w:t xml:space="preserve">Un guide en langage clair de votre cote de maturité</w:t>
      </w:r>
    </w:p>
    <w:p>
      <w:pPr>
        <w:spacing w:before="600"/>
      </w:pPr>
      <w:r>
        <w:rPr>
          <w:i/>
          <w:iCs/>
          <w:color w:val="5A6B7B"/>
          <w:sz w:val="20"/>
          <w:szCs w:val="20"/>
        </w:rPr>
        <w:t xml:space="preserve">Édition client.</w:t>
      </w:r>
    </w:p>
    <w:p>
      <w:pPr>
        <w:spacing w:before="120"/>
      </w:pPr>
      <w:r>
        <w:rPr>
          <w:color w:val="5A6B7B"/>
          <w:sz w:val="20"/>
          <w:szCs w:val="20"/>
        </w:rPr>
        <w:t xml:space="preserve">Version 1.0  ·  Juin 2026</w:t>
      </w:r>
    </w:p>
    <w:p>
      <w:r>
        <w:br w:type="page"/>
      </w:r>
    </w:p>
    <w:p>
      <w:pPr>
        <w:pStyle w:val="Heading1"/>
      </w:pPr>
      <w:r>
        <w:t xml:space="preserve">1. L’idée en une phrase</w:t>
      </w:r>
    </w:p>
    <w:p>
      <w:pPr>
        <w:spacing w:after="140" w:line="276"/>
      </w:pPr>
      <w:r>
        <w:rPr>
          <w:sz w:val="22"/>
          <w:szCs w:val="22"/>
        </w:rPr>
        <w:t xml:space="preserve">La maturité répond à une question simple pour chaque domaine d’un cadre : à quel point les contrôles requis sont-ils réellement en place, de façon complète et fiable ? Nous l’exprimons sur une échelle de 0 à 5, la même échelle à cinq niveaux utilisée par les modèles de maturité en cybersécurité, et nous la calculons à partir de véritables preuves d’audit plutôt que d’une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9EC" w:sz="1"/>
              <w:left w:val="single" w:color="1A8FD1" w:sz="18"/>
              <w:bottom w:val="single" w:color="BBD9EC" w:sz="1"/>
              <w:right w:val="single" w:color="BBD9EC" w:sz="1"/>
            </w:tcBorders>
            <w:shd w:fill="EEF6FB" w:val="clear"/>
            <w:tcMar>
              <w:top w:type="dxa" w:w="120"/>
              <w:left w:type="dxa" w:w="200"/>
              <w:bottom w:type="dxa" w:w="120"/>
              <w:right w:type="dxa" w:w="160"/>
            </w:tcMar>
          </w:tcPr>
          <w:p>
            <w:pPr>
              <w:spacing w:after="60"/>
            </w:pPr>
            <w:r>
              <w:rPr>
                <w:b/>
                <w:bCs/>
                <w:color w:val="0D2A43"/>
                <w:sz w:val="22"/>
                <w:szCs w:val="22"/>
              </w:rPr>
              <w:t xml:space="preserve">Le principe de base</w:t>
            </w:r>
          </w:p>
          <w:p>
            <w:pPr>
              <w:spacing w:after="40" w:line="268"/>
            </w:pPr>
            <w:r>
              <w:rPr>
                <w:sz w:val="21"/>
                <w:szCs w:val="21"/>
              </w:rPr>
              <w:t xml:space="preserve">La maturité évaluée se mérite, elle ne se saisit pas. La cote d’un domaine augmente uniquement à mesure que ses contrôles sont vérifiés par des preuves. Le chiffre reste ainsi défendable : chaque point renvoie à des contrôles réellement démontrés.</w:t>
            </w:r>
          </w:p>
        </w:tc>
      </w:tr>
    </w:tbl>
    <w:p>
      <w:pPr>
        <w:pStyle w:val="Heading1"/>
      </w:pPr>
      <w:r>
        <w:t xml:space="preserve">2. L’échelle de maturité de 0 à 5</w:t>
      </w:r>
    </w:p>
    <w:p>
      <w:pPr>
        <w:spacing w:after="140" w:line="276"/>
      </w:pPr>
      <w:r>
        <w:rPr>
          <w:sz w:val="22"/>
          <w:szCs w:val="22"/>
        </w:rPr>
        <w:t xml:space="preserve">Chaque cote, qu’elle soit évaluée par EVA ou perçue par vous, repose sur la même échelle; les deux se comparent donc directement sur un même 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Niveau</w:t>
            </w:r>
          </w:p>
        </w:tc>
        <w:tc>
          <w:tcPr>
            <w:tcW w:type="dxa" w:w="24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Nom</w:t>
            </w:r>
          </w:p>
        </w:tc>
        <w:tc>
          <w:tcPr>
            <w:tcW w:type="dxa" w:w="60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Ce que cela signifie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Optimisé</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Formel, à l’échelle de l’organisation et amélioré en continu; entièrement mis en œuvre sur tous les systèmes et révisé régulièrement.</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Géré</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Mis en œuvre et surveillé pour les systèmes critiques; presque complet, avec seulement des lacunes mineures.</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Défini</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Documenté et appliqué de façon cohérente pour les systèmes et domaines clés.</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Initial</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Informel ou ponctuel; couverture partielle et incohérente.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Aucun</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Aucun processus ni aucune capacité en place pour ce contrôle.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pPr>
              <w:jc w:val="left"/>
            </w:pPr>
            <w:r>
              <w:rPr>
                <w:b w:val="false"/>
                <w:bCs w:val="false"/>
                <w:sz w:val="20"/>
                <w:szCs w:val="20"/>
              </w:rPr>
              <w:t xml:space="preserve">Non amorcé</w:t>
            </w:r>
          </w:p>
        </w:tc>
        <w:tc>
          <w:tcPr>
            <w:tcW w:type="dxa" w:w="60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pPr>
              <w:jc w:val="left"/>
            </w:pPr>
            <w:r>
              <w:rPr>
                <w:b w:val="false"/>
                <w:bCs w:val="false"/>
                <w:sz w:val="20"/>
                <w:szCs w:val="20"/>
              </w:rPr>
              <w:t xml:space="preserve">Valeur évaluée seulement : aucun contrôle de ce domaine n’est encore vérifié.</w:t>
            </w:r>
          </w:p>
        </w:tc>
      </w:tr>
    </w:tbl>
    <w:p>
      <w:pPr>
        <w:spacing w:after="140" w:line="276"/>
      </w:pPr>
      <w:r>
        <w:rPr>
          <w:i/>
          <w:iCs/>
          <w:sz w:val="22"/>
          <w:szCs w:val="22"/>
        </w:rPr>
        <w:t xml:space="preserve">La cible d’amélioration par défaut est le niveau 4 (Géré) : une couverture solide et surveillée de l’essentiel, un objectif réaliste et prêt pour l’audit pour la plupart des organisations. Les cibles peuvent être relevées ou abaissées par domaine.</w:t>
      </w:r>
    </w:p>
    <w:p>
      <w:pPr>
        <w:pStyle w:val="Heading1"/>
      </w:pPr>
      <w:r>
        <w:t xml:space="preserve">3. Les quatre chiffres suivis pour chaque domaine</w:t>
      </w:r>
    </w:p>
    <w:p>
      <w:pPr>
        <w:spacing w:after="140" w:line="276"/>
      </w:pPr>
      <w:r>
        <w:rPr>
          <w:sz w:val="22"/>
          <w:szCs w:val="22"/>
        </w:rPr>
        <w:t xml:space="preserve">Un cadre (par exemple CMMC 2.0) est divisé en domaines (Contrôle d’accès, Réponse aux incidents, etc.). Pour chaque domaine, nous conservons jusqu’à quatre mesures, toutes sur la même échelle de 0 à 5 :</w:t>
      </w:r>
    </w:p>
    <w:p>
      <w:pPr>
        <w:pStyle w:val="ListParagraph"/>
        <w:numPr>
          <w:ilvl w:val="0"/>
          <w:numId w:val="2"/>
        </w:numPr>
        <w:spacing w:after="60" w:line="268"/>
      </w:pPr>
      <w:r>
        <w:rPr>
          <w:b/>
          <w:bCs/>
          <w:sz w:val="22"/>
          <w:szCs w:val="22"/>
        </w:rPr>
        <w:t xml:space="preserve">Évaluée (actuelle) </w:t>
      </w:r>
      <w:r>
        <w:rPr>
          <w:sz w:val="22"/>
          <w:szCs w:val="22"/>
        </w:rPr>
        <w:t xml:space="preserve">la cote fondée sur les preuves que EVA calcule selon le nombre de contrôles vérifiés. C’est le chiffre de maturité principal.</w:t>
      </w:r>
    </w:p>
    <w:p>
      <w:pPr>
        <w:pStyle w:val="ListParagraph"/>
        <w:numPr>
          <w:ilvl w:val="0"/>
          <w:numId w:val="2"/>
        </w:numPr>
        <w:spacing w:after="60" w:line="268"/>
      </w:pPr>
      <w:r>
        <w:rPr>
          <w:b/>
          <w:bCs/>
          <w:sz w:val="22"/>
          <w:szCs w:val="22"/>
        </w:rPr>
        <w:t xml:space="preserve">Perçue </w:t>
      </w:r>
      <w:r>
        <w:rPr>
          <w:sz w:val="22"/>
          <w:szCs w:val="22"/>
        </w:rPr>
        <w:t xml:space="preserve">votre propre auto-évaluation, recueillie au moyen du questionnaire de maturité. Elle montre comment votre organisation se perçoit.</w:t>
      </w:r>
    </w:p>
    <w:p>
      <w:pPr>
        <w:pStyle w:val="ListParagraph"/>
        <w:numPr>
          <w:ilvl w:val="0"/>
          <w:numId w:val="2"/>
        </w:numPr>
        <w:spacing w:after="60" w:line="268"/>
      </w:pPr>
      <w:r>
        <w:rPr>
          <w:b/>
          <w:bCs/>
          <w:sz w:val="22"/>
          <w:szCs w:val="22"/>
        </w:rPr>
        <w:t xml:space="preserve">Cible </w:t>
      </w:r>
      <w:r>
        <w:rPr>
          <w:sz w:val="22"/>
          <w:szCs w:val="22"/>
        </w:rPr>
        <w:t xml:space="preserve">où le domaine devrait se situer (niveau 4 par défaut). L’écart par rapport à la cible alimente le score de risque et la feuille de route.</w:t>
      </w:r>
    </w:p>
    <w:p>
      <w:pPr>
        <w:pStyle w:val="ListParagraph"/>
        <w:numPr>
          <w:ilvl w:val="0"/>
          <w:numId w:val="2"/>
        </w:numPr>
        <w:spacing w:after="60" w:line="268"/>
      </w:pPr>
      <w:r>
        <w:rPr>
          <w:b/>
          <w:bCs/>
          <w:sz w:val="22"/>
          <w:szCs w:val="22"/>
        </w:rPr>
        <w:t xml:space="preserve">Antérieure </w:t>
      </w:r>
      <w:r>
        <w:rPr>
          <w:sz w:val="22"/>
          <w:szCs w:val="22"/>
        </w:rPr>
        <w:t xml:space="preserve">le niveau évalué figé lors du dernier instantané, pour visualiser les progrès dans le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9EC" w:sz="1"/>
              <w:left w:val="single" w:color="1A8FD1" w:sz="18"/>
              <w:bottom w:val="single" w:color="BBD9EC" w:sz="1"/>
              <w:right w:val="single" w:color="BBD9EC" w:sz="1"/>
            </w:tcBorders>
            <w:shd w:fill="EEF6FB" w:val="clear"/>
            <w:tcMar>
              <w:top w:type="dxa" w:w="120"/>
              <w:left w:type="dxa" w:w="200"/>
              <w:bottom w:type="dxa" w:w="120"/>
              <w:right w:type="dxa" w:w="160"/>
            </w:tcMar>
          </w:tcPr>
          <w:p>
            <w:pPr>
              <w:spacing w:after="60"/>
            </w:pPr>
            <w:r>
              <w:rPr>
                <w:b/>
                <w:bCs/>
                <w:color w:val="0D2A43"/>
                <w:sz w:val="22"/>
                <w:szCs w:val="22"/>
              </w:rPr>
              <w:t xml:space="preserve">Pourquoi à la fois Évaluée et Perçue ?</w:t>
            </w:r>
          </w:p>
          <w:p>
            <w:pPr>
              <w:spacing w:after="40" w:line="268"/>
            </w:pPr>
            <w:r>
              <w:rPr>
                <w:sz w:val="21"/>
                <w:szCs w:val="21"/>
              </w:rPr>
              <w:t xml:space="preserve">L’écart entre les deux est l’un des signaux les plus utiles. Lorsqu’une organisation se perçoit bien au-dessus de sa cote évaluée, cela révèle souvent un angle mort, ou des contrôles que l’on croit en place mais qui ne sont pas encore prouvés.</w:t>
            </w:r>
          </w:p>
        </w:tc>
      </w:tr>
    </w:tbl>
    <w:p>
      <w:pPr>
        <w:pStyle w:val="Heading1"/>
      </w:pPr>
      <w:r>
        <w:t xml:space="preserve">4. Comment le niveau Évalué (actuel) est calculé</w:t>
      </w:r>
    </w:p>
    <w:p>
      <w:pPr>
        <w:spacing w:after="140" w:line="276"/>
      </w:pPr>
      <w:r>
        <w:rPr>
          <w:sz w:val="22"/>
          <w:szCs w:val="22"/>
        </w:rPr>
        <w:t xml:space="preserve">C’est le cœur de la méthode. Pour un domaine donné, nous examinons chaque contrôle auquel vous êtes abonné dans ce domaine et comptons combien sont conformes.</w:t>
      </w:r>
    </w:p>
    <w:p>
      <w:pPr>
        <w:pStyle w:val="Heading2"/>
      </w:pPr>
      <w:r>
        <w:t xml:space="preserve">Étape 1 — Quand un contrôle est-il « conforme » ?</w:t>
      </w:r>
    </w:p>
    <w:p>
      <w:pPr>
        <w:spacing w:after="140" w:line="276"/>
      </w:pPr>
      <w:r>
        <w:rPr>
          <w:sz w:val="22"/>
          <w:szCs w:val="22"/>
        </w:rPr>
        <w:t xml:space="preserve">Un contrôle devient conforme lorsque ses preuves requises sont reçues et acceptées : tous ses éléments de preuve attendus sont acceptés et aucun n’a été retourné pour correction. Un réviseur peut aussi confirmer le statut d’un contrôle manuellement (par exemple, accepter un contrôle compensatoire). Bref, conforme veut dire démontré, et non simplement déclaré.</w:t>
      </w:r>
    </w:p>
    <w:p>
      <w:pPr>
        <w:pStyle w:val="Heading2"/>
      </w:pPr>
      <w:r>
        <w:t xml:space="preserve">Étape 2 — Convertir le taux de conformité en niveau de 0 à 5</w:t>
      </w:r>
    </w:p>
    <w:p>
      <w:pPr>
        <w:spacing w:after="140" w:line="276"/>
      </w:pPr>
      <w:r>
        <w:rPr>
          <w:sz w:val="22"/>
          <w:szCs w:val="22"/>
        </w:rPr>
        <w:t xml:space="preserve">Dans le domaine, nous prenons la proportion de contrôles conformes et la plaçons sur l’échelle de 0 à 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niveau du domaine = arrondi( contrôles conformes / total des contrôles × 5 )</w:t>
            </w:r>
          </w:p>
        </w:tc>
      </w:tr>
    </w:tbl>
    <w:p>
      <w:pPr>
        <w:spacing w:after="140" w:line="276"/>
      </w:pPr>
      <w:r>
        <w:rPr>
          <w:sz w:val="22"/>
          <w:szCs w:val="22"/>
        </w:rPr>
        <w:t xml:space="preserve">Ainsi, un domaine où 8 contrôles sur 10 sont vérifiés obtient arrondi(0,8 × 5) = 4 (Géré). Un domaine sans aucun contrôle vérifié obtient 0; tout vérifié donne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Conformes dans le domaine</w:t>
            </w:r>
          </w:p>
        </w:tc>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Taux</w:t>
            </w:r>
          </w:p>
        </w:tc>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Niveau évalué</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6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9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75%</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12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w:t>
            </w:r>
          </w:p>
        </w:tc>
      </w:tr>
    </w:tbl>
    <w:p>
      <w:pPr>
        <w:spacing w:after="140" w:line="276"/>
      </w:pPr>
      <w:r>
        <w:rPr>
          <w:i/>
          <w:iCs/>
          <w:sz w:val="22"/>
          <w:szCs w:val="22"/>
        </w:rPr>
        <w:t xml:space="preserve">Cette valeur se met à jour d’elle-même à mesure que les preuves sont acceptées : le portrait de maturité reste donc à jour sans qu’on ait à le recalculer manuellement. Un réviseur EVA ou IGS peut aussi ajuster le niveau d’un domaine ou sa cible lorsque le jugement d’expert le justifie, et tout ajustement de ce type est clairement indiqué.</w:t>
      </w:r>
    </w:p>
    <w:p>
      <w:pPr>
        <w:pStyle w:val="Heading1"/>
      </w:pPr>
      <w:r>
        <w:t xml:space="preserve">5. Comment le niveau Perçu est calculé</w:t>
      </w:r>
    </w:p>
    <w:p>
      <w:pPr>
        <w:spacing w:after="140" w:line="276"/>
      </w:pPr>
      <w:r>
        <w:rPr>
          <w:sz w:val="22"/>
          <w:szCs w:val="22"/>
        </w:rPr>
        <w:t xml:space="preserve">La maturité perçue provient de vos réponses au questionnaire de maturité. Chaque contrôle comporte une question dont les cinq choix de réponse correspondent exactement à l’échelle de 0 à 5 (d’Aucun à Optimisé). Le niveau perçu d’un domaine est simplement la moyenne des niveaux que vous avez choisis pour les contrôles de ce domaine.</w:t>
      </w:r>
    </w:p>
    <w:p>
      <w:pPr>
        <w:spacing w:after="140" w:line="276"/>
      </w:pPr>
      <w:r>
        <w:rPr>
          <w:sz w:val="22"/>
          <w:szCs w:val="22"/>
        </w:rPr>
        <w:t xml:space="preserve">Seuls les contrôles auxquels vous avez répondu comptent; les autres sont ignorés plutôt que comptés comme zéro, afin qu’une auto-évaluation partielle ne soit pas pénalisée injustement.</w:t>
      </w:r>
    </w:p>
    <w:p>
      <w:pPr>
        <w:pStyle w:val="Heading1"/>
      </w:pPr>
      <w:r>
        <w:t xml:space="preserve">6. Le score de risque</w:t>
      </w:r>
    </w:p>
    <w:p>
      <w:pPr>
        <w:spacing w:after="140" w:line="276"/>
      </w:pPr>
      <w:r>
        <w:rPr>
          <w:sz w:val="22"/>
          <w:szCs w:val="22"/>
        </w:rPr>
        <w:t xml:space="preserve">La maturité indique où vous en êtes; le score de risque indique l’importance de l’écart qui reste. Il pondère le déficit de chaque domaine selon la sévérité de ses contrôles, car être en deçà de la cible dans un domaine critique n’équivaut pas à l’être dans un domaine à faible risque.</w:t>
      </w:r>
    </w:p>
    <w:p>
      <w:pPr>
        <w:spacing w:after="140" w:line="276"/>
      </w:pPr>
      <w:r>
        <w:rPr>
          <w:sz w:val="22"/>
          <w:szCs w:val="22"/>
        </w:rPr>
        <w:t xml:space="preserve">Chaque domaine prend comme poids la sévérité la plus élevée qu’il contient (Critique = 4, Élevée = 3, Moyenne = 2, Faible = 1), et son écart correspond à la distance sous la cible (jamais négative). Le score de risque du cadre combine l’écart pondéré de chaque domaine en un seul pourcentage de 0 à 100 % : 0 % signifie que chaque domaine a atteint sa cible; une valeur plus élevée signale une concentration de domaines à sévérité élevée et à faible maturité.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score de risque (%) = arrondi( Σ (écart × poids) / Σ (4 × poids) × 100 )</w:t>
            </w:r>
          </w:p>
        </w:tc>
      </w:tr>
    </w:tbl>
    <w:p>
      <w:pPr>
        <w:pStyle w:val="Heading1"/>
      </w:pPr>
      <w:r>
        <w:t xml:space="preserve">7. Du domaine au cadre à l’organisation</w:t>
      </w:r>
    </w:p>
    <w:p>
      <w:pPr>
        <w:spacing w:after="140" w:line="276"/>
      </w:pPr>
      <w:r>
        <w:rPr>
          <w:sz w:val="22"/>
          <w:szCs w:val="22"/>
        </w:rPr>
        <w:t xml:space="preserve">Les cotes s’agrègent en trois couches, chacune une moyenne simple :</w:t>
      </w:r>
    </w:p>
    <w:p>
      <w:pPr>
        <w:pStyle w:val="ListParagraph"/>
        <w:numPr>
          <w:ilvl w:val="0"/>
          <w:numId w:val="3"/>
        </w:numPr>
        <w:spacing w:after="80" w:line="268"/>
      </w:pPr>
      <w:r>
        <w:rPr>
          <w:sz w:val="22"/>
          <w:szCs w:val="22"/>
        </w:rPr>
        <w:t xml:space="preserve">Niveau du domaine — calculé à partir du taux de conformité (section 4).</w:t>
      </w:r>
    </w:p>
    <w:p>
      <w:pPr>
        <w:pStyle w:val="ListParagraph"/>
        <w:numPr>
          <w:ilvl w:val="0"/>
          <w:numId w:val="3"/>
        </w:numPr>
        <w:spacing w:after="80" w:line="268"/>
      </w:pPr>
      <w:r>
        <w:rPr>
          <w:sz w:val="22"/>
          <w:szCs w:val="22"/>
        </w:rPr>
        <w:t xml:space="preserve">Cadre global — la moyenne des niveaux de ses domaines.</w:t>
      </w:r>
    </w:p>
    <w:p>
      <w:pPr>
        <w:pStyle w:val="ListParagraph"/>
        <w:numPr>
          <w:ilvl w:val="0"/>
          <w:numId w:val="3"/>
        </w:numPr>
        <w:spacing w:after="80" w:line="268"/>
      </w:pPr>
      <w:r>
        <w:rPr>
          <w:sz w:val="22"/>
          <w:szCs w:val="22"/>
        </w:rPr>
        <w:t xml:space="preserve">Organisation globale — la moyenne de tous les cadres auxquels vous êtes abonné. L’écart au niveau de l’organisation est Perçue moins Évaluée.</w:t>
      </w:r>
    </w:p>
    <w:p>
      <w:pPr>
        <w:pStyle w:val="Heading1"/>
      </w:pPr>
      <w:r>
        <w:t xml:space="preserve">8. Suivre les progrès dans le temps</w:t>
      </w:r>
    </w:p>
    <w:p>
      <w:pPr>
        <w:spacing w:after="140" w:line="276"/>
      </w:pPr>
      <w:r>
        <w:rPr>
          <w:sz w:val="22"/>
          <w:szCs w:val="22"/>
        </w:rPr>
        <w:t xml:space="preserve">Un réviseur peut prendre un instantané daté d’un cadre, qui fige le niveau actuel de chaque domaine comme référence étiquetée. Par la suite, la plateforme affiche cette référence comme série Antérieure à côté de la valeur Actuelle en direct, de sorte que les progrès depuis la dernière revue sont visibles d’un coup d’œil.</w:t>
      </w:r>
    </w:p>
    <w:p>
      <w:pPr>
        <w:pStyle w:val="Heading1"/>
      </w:pPr>
      <w:r>
        <w:t xml:space="preserve">9. Exemple concret</w:t>
      </w:r>
    </w:p>
    <w:p>
      <w:pPr>
        <w:spacing w:after="140" w:line="276"/>
      </w:pPr>
      <w:r>
        <w:rPr>
          <w:sz w:val="22"/>
          <w:szCs w:val="22"/>
        </w:rPr>
        <w:t xml:space="preserve">Prenons une évaluation CMMC 2.0 comportant trois domaines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Domaine</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Vérifiés</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Évaluée</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Cible</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Sévérité</w:t>
            </w:r>
          </w:p>
        </w:tc>
      </w:tr>
      <w:tr>
        <w:trPr>
          <w:tblHeader w:val="false"/>
        </w:trPr>
        <w:tc>
          <w:tcPr>
            <w:tcW w:type="dxa" w:w="27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Contrôle d’accès</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9 / 12</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Critique</w:t>
            </w:r>
          </w:p>
        </w:tc>
      </w:tr>
      <w:tr>
        <w:trPr>
          <w:tblHeader w:val="false"/>
        </w:trPr>
        <w:tc>
          <w:tcPr>
            <w:tcW w:type="dxa" w:w="27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Réponse aux incidents</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 / 10</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2</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Élevée</w:t>
            </w:r>
          </w:p>
        </w:tc>
      </w:tr>
      <w:tr>
        <w:trPr>
          <w:tblHeader w:val="false"/>
        </w:trPr>
        <w:tc>
          <w:tcPr>
            <w:tcW w:type="dxa" w:w="27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Sensibilisation et formation</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 / 8</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Faible</w:t>
            </w:r>
          </w:p>
        </w:tc>
      </w:tr>
    </w:tbl>
    <w:p>
      <w:pPr>
        <w:spacing w:after="140" w:line="276"/>
      </w:pPr>
      <w:r>
        <w:rPr>
          <w:sz w:val="22"/>
          <w:szCs w:val="22"/>
        </w:rPr>
        <w:t xml:space="preserve">Évaluée globale du cadre = moyenne(4, 2, 3) = 3,0, pour une cible de 4,0.</w:t>
      </w:r>
    </w:p>
    <w:p>
      <w:pPr>
        <w:spacing w:after="140" w:line="276"/>
      </w:pPr>
      <w:r>
        <w:rPr>
          <w:sz w:val="22"/>
          <w:szCs w:val="22"/>
        </w:rPr>
        <w:t xml:space="preserve">Écarts pondérés : Contrôle d’accès 0×4 = 0; Réponse aux incidents 2×3 = 6; Sensibilisation 1×1 = 1. Score de risque = arrondi((0+6+1) / (4×(4+3+1)) × 100) = </w:t>
      </w:r>
      <w:r>
        <w:rPr>
          <w:b/>
          <w:bCs/>
          <w:color w:val="0D2A43"/>
          <w:sz w:val="22"/>
          <w:szCs w:val="22"/>
        </w:rPr>
        <w:t xml:space="preserve">22%</w:t>
      </w:r>
      <w:r>
        <w:rPr>
          <w:sz w:val="22"/>
          <w:szCs w:val="22"/>
        </w:rPr>
        <w:t xml:space="preserve">.</w:t>
      </w:r>
    </w:p>
    <w:p>
      <w:pPr>
        <w:spacing w:after="140" w:line="276"/>
      </w:pPr>
      <w:r>
        <w:rPr>
          <w:i/>
          <w:iCs/>
          <w:sz w:val="22"/>
          <w:szCs w:val="22"/>
        </w:rPr>
        <w:t xml:space="preserve">Lecture : la maturité globale est solide à 3,0 sur 5, mais le risque résiduel se concentre dans la Réponse aux incidents, un domaine à sévérité élevée encore bien sous la cible. C’est là que la feuille de route devrait se concentrer ensuite.</w:t>
      </w:r>
    </w:p>
    <w:p>
      <w:pPr>
        <w:pStyle w:val="Heading1"/>
      </w:pPr>
      <w:r>
        <w:t xml:space="preserve">10. Pourquoi cette approche</w:t>
      </w:r>
    </w:p>
    <w:p>
      <w:pPr>
        <w:pStyle w:val="ListParagraph"/>
        <w:numPr>
          <w:ilvl w:val="0"/>
          <w:numId w:val="2"/>
        </w:numPr>
        <w:spacing w:after="60" w:line="268"/>
      </w:pPr>
      <w:r>
        <w:rPr>
          <w:b/>
          <w:bCs/>
          <w:sz w:val="22"/>
          <w:szCs w:val="22"/>
        </w:rPr>
        <w:t xml:space="preserve">Fondée sur les preuves et défendable. </w:t>
      </w:r>
      <w:r>
        <w:rPr>
          <w:sz w:val="22"/>
          <w:szCs w:val="22"/>
        </w:rPr>
        <w:t xml:space="preserve">La cote évaluée ne bouge que lorsque les contrôles sont vérifiés; elle résiste donc à l’examen d’un audit externe.</w:t>
      </w:r>
    </w:p>
    <w:p>
      <w:pPr>
        <w:pStyle w:val="ListParagraph"/>
        <w:numPr>
          <w:ilvl w:val="0"/>
          <w:numId w:val="2"/>
        </w:numPr>
        <w:spacing w:after="60" w:line="268"/>
      </w:pPr>
      <w:r>
        <w:rPr>
          <w:b/>
          <w:bCs/>
          <w:sz w:val="22"/>
          <w:szCs w:val="22"/>
        </w:rPr>
        <w:t xml:space="preserve">Standard et familière. </w:t>
      </w:r>
      <w:r>
        <w:rPr>
          <w:sz w:val="22"/>
          <w:szCs w:val="22"/>
        </w:rPr>
        <w:t xml:space="preserve">L’échelle de 0 à 5 reprend des modèles de maturité largement utilisés; elle est donc facile à comprendre.</w:t>
      </w:r>
    </w:p>
    <w:p>
      <w:pPr>
        <w:pStyle w:val="ListParagraph"/>
        <w:numPr>
          <w:ilvl w:val="0"/>
          <w:numId w:val="2"/>
        </w:numPr>
        <w:spacing w:after="60" w:line="268"/>
      </w:pPr>
      <w:r>
        <w:rPr>
          <w:b/>
          <w:bCs/>
          <w:sz w:val="22"/>
          <w:szCs w:val="22"/>
        </w:rPr>
        <w:t xml:space="preserve">Auto-entretenue. </w:t>
      </w:r>
      <w:r>
        <w:rPr>
          <w:sz w:val="22"/>
          <w:szCs w:val="22"/>
        </w:rPr>
        <w:t xml:space="preserve">Comme la cote découle des preuves, le portrait de maturité reste à jour sans recalcul manuel.</w:t>
      </w:r>
    </w:p>
    <w:p>
      <w:pPr>
        <w:pStyle w:val="ListParagraph"/>
        <w:numPr>
          <w:ilvl w:val="0"/>
          <w:numId w:val="2"/>
        </w:numPr>
        <w:spacing w:after="60" w:line="268"/>
      </w:pPr>
      <w:r>
        <w:rPr>
          <w:b/>
          <w:bCs/>
          <w:sz w:val="22"/>
          <w:szCs w:val="22"/>
        </w:rPr>
        <w:t xml:space="preserve">Axée sur le risque. </w:t>
      </w:r>
      <w:r>
        <w:rPr>
          <w:sz w:val="22"/>
          <w:szCs w:val="22"/>
        </w:rPr>
        <w:t xml:space="preserve">La pondération par sévérité dirige l’attention vers les écarts qui présentent une exposition réelle.</w:t>
      </w:r>
    </w:p>
    <w:p>
      <w:pPr>
        <w:pStyle w:val="ListParagraph"/>
        <w:numPr>
          <w:ilvl w:val="0"/>
          <w:numId w:val="2"/>
        </w:numPr>
        <w:spacing w:after="60" w:line="268"/>
      </w:pPr>
      <w:r>
        <w:rPr>
          <w:b/>
          <w:bCs/>
          <w:sz w:val="22"/>
          <w:szCs w:val="22"/>
        </w:rPr>
        <w:t xml:space="preserve">Honnête sur la perception. </w:t>
      </w:r>
      <w:r>
        <w:rPr>
          <w:sz w:val="22"/>
          <w:szCs w:val="22"/>
        </w:rPr>
        <w:t xml:space="preserve">Suivre la perçue en parallèle de l’évaluée révèle des angles morts qu’un seul chiffre masquerait.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EC" w:sz="4" w:space="4"/>
      </w:pBdr>
      <w:jc w:val="right"/>
    </w:pPr>
    <w:r>
      <w:rPr>
        <w:color w:val="5A6B7B"/>
        <w:sz w:val="16"/>
        <w:szCs w:val="16"/>
      </w:rPr>
      <w:t xml:space="preserve">EVA Comply  ·  Comment la maturité est calculée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FD1" w:sz="6" w:space="4"/>
      </w:pBdr>
      <w:spacing w:after="160" w:before="320"/>
      <w:outlineLvl w:val="0"/>
    </w:pPr>
    <w:rPr>
      <w:rFonts w:ascii="Arial" w:cs="Arial" w:eastAsia="Arial" w:hAnsi="Arial"/>
      <w:b/>
      <w:bCs/>
      <w:color w:val="0D2A43"/>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8FD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 Comply  ·  Comment la maturité est calculée</dc:title>
  <dc:creator>EVA Comply</dc:creator>
  <cp:lastModifiedBy>Un-named</cp:lastModifiedBy>
  <cp:revision>1</cp:revision>
  <dcterms:created xsi:type="dcterms:W3CDTF">2026-06-25T15:41:39.490Z</dcterms:created>
  <dcterms:modified xsi:type="dcterms:W3CDTF">2026-06-25T15:41:39.490Z</dcterms:modified>
</cp:coreProperties>
</file>

<file path=docProps/custom.xml><?xml version="1.0" encoding="utf-8"?>
<Properties xmlns="http://schemas.openxmlformats.org/officeDocument/2006/custom-properties" xmlns:vt="http://schemas.openxmlformats.org/officeDocument/2006/docPropsVTypes"/>
</file>