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1.png" ContentType="image/png"/>
  <Override PartName="/word/media/rId44.png" ContentType="image/png"/>
  <Override PartName="/word/media/rId51.png" ContentType="image/png"/>
  <Override PartName="/word/media/rId39.png" ContentType="image/png"/>
  <Override PartName="/word/media/rId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MarineSDMs</w:t>
      </w:r>
    </w:p>
    <w:p>
      <w:pPr>
        <w:pStyle w:val="Subtitle"/>
      </w:pPr>
      <w:r>
        <w:t xml:space="preserve">Marine</w:t>
      </w:r>
      <w:r>
        <w:t xml:space="preserve"> </w:t>
      </w:r>
      <w:r>
        <w:t xml:space="preserve">Species</w:t>
      </w:r>
      <w:r>
        <w:t xml:space="preserve"> </w:t>
      </w:r>
      <w:r>
        <w:t xml:space="preserve">Distribution</w:t>
      </w:r>
      <w:r>
        <w:t xml:space="preserve"> </w:t>
      </w:r>
      <w:r>
        <w:t xml:space="preserve">Models</w:t>
      </w:r>
    </w:p>
    <w:p>
      <w:pPr>
        <w:pStyle w:val="Author"/>
      </w:pPr>
      <w:r>
        <w:t xml:space="preserve">Ben</w:t>
      </w:r>
      <w:r>
        <w:t xml:space="preserve"> </w:t>
      </w:r>
      <w:r>
        <w:t xml:space="preserve">Best</w:t>
      </w:r>
    </w:p>
    <w:p>
      <w:pPr>
        <w:pStyle w:val="Date"/>
      </w:pPr>
      <w:r>
        <w:t xml:space="preserve">2023-11-20</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9" w:name="introduction"/>
    <w:p>
      <w:pPr>
        <w:pStyle w:val="Heading1"/>
      </w:pPr>
      <w:r>
        <w:t xml:space="preserve">1. Introduction</w:t>
      </w:r>
    </w:p>
    <w:p>
      <w:pPr>
        <w:pStyle w:val="SourceCode"/>
      </w:pPr>
      <w:r>
        <w:rPr>
          <w:rStyle w:val="CommentTok"/>
        </w:rPr>
        <w:t xml:space="preserve"># remotes::install_github("debruine/glossary")</w:t>
      </w:r>
      <w:r>
        <w:br/>
      </w:r>
      <w:r>
        <w:rPr>
          <w:rStyle w:val="FunctionTok"/>
        </w:rPr>
        <w:t xml:space="preserve">library</w:t>
      </w:r>
      <w:r>
        <w:rPr>
          <w:rStyle w:val="NormalTok"/>
        </w:rPr>
        <w:t xml:space="preserve">(glossary)</w:t>
      </w:r>
      <w:r>
        <w:br/>
      </w:r>
      <w:r>
        <w:rPr>
          <w:rStyle w:val="NormalTok"/>
        </w:rPr>
        <w:t xml:space="preserve">glossary</w:t>
      </w:r>
      <w:r>
        <w:rPr>
          <w:rStyle w:val="SpecialCharTok"/>
        </w:rPr>
        <w:t xml:space="preserve">::</w:t>
      </w:r>
      <w:r>
        <w:rPr>
          <w:rStyle w:val="FunctionTok"/>
        </w:rPr>
        <w:t xml:space="preserve">glossary_path</w:t>
      </w:r>
      <w:r>
        <w:rPr>
          <w:rStyle w:val="NormalTok"/>
        </w:rPr>
        <w:t xml:space="preserve">(</w:t>
      </w:r>
      <w:r>
        <w:rPr>
          <w:rStyle w:val="StringTok"/>
        </w:rPr>
        <w:t xml:space="preserve">"glossary.yml"</w:t>
      </w:r>
      <w:r>
        <w:rPr>
          <w:rStyle w:val="NormalTok"/>
        </w:rPr>
        <w:t xml:space="preserve">)</w:t>
      </w:r>
      <w:r>
        <w:br/>
      </w:r>
      <w:r>
        <w:rPr>
          <w:rStyle w:val="NormalTok"/>
        </w:rPr>
        <w:t xml:space="preserve">glossary</w:t>
      </w:r>
      <w:r>
        <w:rPr>
          <w:rStyle w:val="SpecialCharTok"/>
        </w:rPr>
        <w:t xml:space="preserve">::</w:t>
      </w:r>
      <w:r>
        <w:rPr>
          <w:rStyle w:val="FunctionTok"/>
        </w:rPr>
        <w:t xml:space="preserve">glossary_popup</w:t>
      </w:r>
      <w:r>
        <w:rPr>
          <w:rStyle w:val="NormalTok"/>
        </w:rPr>
        <w:t xml:space="preserve">(</w:t>
      </w:r>
      <w:r>
        <w:rPr>
          <w:rStyle w:val="StringTok"/>
        </w:rPr>
        <w:t xml:space="preserve">"click"</w:t>
      </w:r>
      <w:r>
        <w:rPr>
          <w:rStyle w:val="NormalTok"/>
        </w:rPr>
        <w:t xml:space="preserve">)</w:t>
      </w:r>
      <w:r>
        <w:br/>
      </w:r>
      <w:r>
        <w:rPr>
          <w:rStyle w:val="NormalTok"/>
        </w:rPr>
        <w:t xml:space="preserve">glossary</w:t>
      </w:r>
      <w:r>
        <w:rPr>
          <w:rStyle w:val="SpecialCharTok"/>
        </w:rPr>
        <w:t xml:space="preserve">::</w:t>
      </w:r>
      <w:r>
        <w:rPr>
          <w:rStyle w:val="FunctionTok"/>
        </w:rPr>
        <w:t xml:space="preserve">glossary_persistent</w:t>
      </w:r>
      <w:r>
        <w:rPr>
          <w:rStyle w:val="NormalTok"/>
        </w:rPr>
        <w:t xml:space="preserve">(</w:t>
      </w:r>
      <w:r>
        <w:rPr>
          <w:rStyle w:val="ConstantTok"/>
        </w:rPr>
        <w:t xml:space="preserve">TRUE</w:t>
      </w:r>
      <w:r>
        <w:rPr>
          <w:rStyle w:val="NormalTok"/>
        </w:rPr>
        <w:t xml:space="preserve">)</w:t>
      </w:r>
      <w:r>
        <w:br/>
      </w:r>
      <w:r>
        <w:rPr>
          <w:rStyle w:val="CommentTok"/>
        </w:rPr>
        <w:t xml:space="preserve"># quarto publish gh-pages</w:t>
      </w:r>
    </w:p>
    <w:bookmarkStart w:id="23" w:name="background"/>
    <w:p>
      <w:pPr>
        <w:pStyle w:val="Heading2"/>
      </w:pPr>
      <w:r>
        <w:t xml:space="preserve">1.1 Background</w:t>
      </w:r>
    </w:p>
    <w:p>
      <w:pPr>
        <w:pStyle w:val="FirstParagraph"/>
      </w:pPr>
      <w:r>
        <w:t xml:space="preserve">The best available global distributions are presently AquaMaps</w:t>
      </w:r>
      <w:r>
        <w:t xml:space="preserve"> </w:t>
      </w:r>
      <w:r>
        <w:t xml:space="preserve">(Kaschner et al. 2006; Ready et al. 2010)</w:t>
      </w:r>
      <w:r>
        <w:t xml:space="preserve"> </w:t>
      </w:r>
      <w:r>
        <w:t xml:space="preserve">with supplementation by IUCN RedList range maps</w:t>
      </w:r>
      <w:r>
        <w:rPr>
          <w:rStyle w:val="FootnoteReference"/>
        </w:rPr>
        <w:footnoteReference w:id="20"/>
      </w:r>
      <w:r>
        <w:t xml:space="preserve">. We previously used this to calculate the Biodiversity goal of the Ocean Health Index across all Exclusive Economic Zones (EEZs)</w:t>
      </w:r>
      <w:r>
        <w:t xml:space="preserve"> </w:t>
      </w:r>
      <w:r>
        <w:t xml:space="preserve">(Halpern et al. 2012)</w:t>
      </w:r>
      <w:r>
        <w:t xml:space="preserve"> </w:t>
      </w:r>
      <w:r>
        <w:t xml:space="preserve">and beyond EEZs in the high seas</w:t>
      </w:r>
      <w:r>
        <w:t xml:space="preserve"> </w:t>
      </w:r>
      <w:r>
        <w:t xml:space="preserve">(Visalli et al. 2020)</w:t>
      </w:r>
      <w:r>
        <w:t xml:space="preserve"> </w:t>
      </w:r>
      <w:r>
        <w:t xml:space="preserve">with taxonomic groupings [based on</w:t>
      </w:r>
      <w:r>
        <w:t xml:space="preserve"> </w:t>
      </w:r>
      <w:r>
        <w:t xml:space="preserve">(Tittensor et al. 2010)</w:t>
      </w:r>
      <w:r>
        <w:t xml:space="preserve">: see</w:t>
      </w:r>
      <w:r>
        <w:t xml:space="preserve"> </w:t>
      </w:r>
      <w:hyperlink r:id="rId22">
        <w:r>
          <w:rPr>
            <w:rStyle w:val="Hyperlink"/>
          </w:rPr>
          <w:t xml:space="preserve">gmbi</w:t>
        </w:r>
      </w:hyperlink>
      <w:r>
        <w:t xml:space="preserve"> </w:t>
      </w:r>
      <w:r>
        <w:t xml:space="preserve">(global marine biodiversity indicators)].</w:t>
      </w:r>
    </w:p>
    <w:bookmarkEnd w:id="23"/>
    <w:bookmarkStart w:id="24" w:name="goals"/>
    <w:p>
      <w:pPr>
        <w:pStyle w:val="Heading2"/>
      </w:pPr>
      <w:r>
        <w:t xml:space="preserve">1.2 Goals</w:t>
      </w:r>
    </w:p>
    <w:p>
      <w:pPr>
        <w:pStyle w:val="FirstParagraph"/>
      </w:pPr>
      <w:r>
        <w:t xml:space="preserve">This book is meant to capture the overview and details of modeling species distributions in the marine environment for the purposes of advancing the status quo of global and U.S. national species distributions along the following dimensions:</w:t>
      </w:r>
    </w:p>
    <w:p>
      <w:pPr>
        <w:numPr>
          <w:ilvl w:val="0"/>
          <w:numId w:val="1001"/>
        </w:numPr>
      </w:pPr>
      <w:r>
        <w:rPr>
          <w:bCs/>
          <w:b/>
        </w:rPr>
        <w:t xml:space="preserve">Space</w:t>
      </w:r>
      <w:r>
        <w:br/>
      </w:r>
      <w:r>
        <w:t xml:space="preserve">The current AquaMaps distributions are</w:t>
      </w:r>
      <w:r>
        <w:t xml:space="preserve"> </w:t>
      </w:r>
      <m:oMath>
        <m:r>
          <m:t>1</m:t>
        </m:r>
        <m:r>
          <m:rPr>
            <m:sty m:val="p"/>
          </m:rPr>
          <m:t>/</m:t>
        </m:r>
        <m:r>
          <m:t>2</m:t>
        </m:r>
      </m:oMath>
      <w:r>
        <w:t xml:space="preserve">º (~55 km at equator), whereas the best available global bathymetry is</w:t>
      </w:r>
      <w:r>
        <w:t xml:space="preserve"> </w:t>
      </w:r>
      <m:oMath>
        <m:r>
          <m:t>1</m:t>
        </m:r>
        <m:r>
          <m:rPr>
            <m:sty m:val="p"/>
          </m:rPr>
          <m:t>/</m:t>
        </m:r>
        <m:r>
          <m:t>240</m:t>
        </m:r>
      </m:oMath>
      <w:r>
        <w:t xml:space="preserve">º (&lt; 0.5 km).</w:t>
      </w:r>
    </w:p>
    <w:p>
      <w:pPr>
        <w:numPr>
          <w:ilvl w:val="0"/>
          <w:numId w:val="1001"/>
        </w:numPr>
      </w:pPr>
      <w:r>
        <w:rPr>
          <w:bCs/>
          <w:b/>
        </w:rPr>
        <w:t xml:space="preserve">Time</w:t>
      </w:r>
      <w:r>
        <w:br/>
      </w:r>
      <w:r>
        <w:t xml:space="preserve">The current AquaMaps distributions are based on static climatic averages over all seasons, which does not capture temporal dynamics: seasonally within a year, nor long-term climate change trends. This will necessitate sampling the environment contemporaneously with species observations before fitting the model and predicting to different environmental snapshots.</w:t>
      </w:r>
    </w:p>
    <w:p>
      <w:pPr>
        <w:numPr>
          <w:ilvl w:val="0"/>
          <w:numId w:val="1001"/>
        </w:numPr>
      </w:pPr>
      <w:r>
        <w:rPr>
          <w:bCs/>
          <w:b/>
        </w:rPr>
        <w:t xml:space="preserve">Environment</w:t>
      </w:r>
      <w:r>
        <w:br/>
      </w:r>
      <w:r>
        <w:t xml:space="preserve">Other environmental variables besides the initial physiographic (depth) and oceanographic (temperature, chlorophyll, primary productivity and ice) may elicit an improved statistical fit, related to species’ environmental niche. Some candidates include: temperature fronts, eddy kinetic energy, distance from shore, distance from shelf.</w:t>
      </w:r>
    </w:p>
    <w:p>
      <w:pPr>
        <w:numPr>
          <w:ilvl w:val="0"/>
          <w:numId w:val="1001"/>
        </w:numPr>
      </w:pPr>
      <w:r>
        <w:rPr>
          <w:bCs/>
          <w:b/>
        </w:rPr>
        <w:t xml:space="preserve">Biology</w:t>
      </w:r>
      <w:r>
        <w:br/>
      </w:r>
      <w:r>
        <w:t xml:space="preserve">Where sufficient observations exist, additional models should be developed highlighting differences between:</w:t>
      </w:r>
    </w:p>
    <w:p>
      <w:pPr>
        <w:numPr>
          <w:ilvl w:val="1"/>
          <w:numId w:val="1002"/>
        </w:numPr>
      </w:pPr>
      <w:r>
        <w:rPr>
          <w:bCs/>
          <w:b/>
        </w:rPr>
        <w:t xml:space="preserve">Life stage</w:t>
      </w:r>
      <w:r>
        <w:t xml:space="preserve">, e.g. larval vs adult.</w:t>
      </w:r>
    </w:p>
    <w:p>
      <w:pPr>
        <w:numPr>
          <w:ilvl w:val="1"/>
          <w:numId w:val="1002"/>
        </w:numPr>
      </w:pPr>
      <w:r>
        <w:rPr>
          <w:bCs/>
          <w:b/>
        </w:rPr>
        <w:t xml:space="preserve">Gender</w:t>
      </w:r>
      <w:r>
        <w:t xml:space="preserve"> </w:t>
      </w:r>
      <w:r>
        <w:t xml:space="preserve">where varies, such as male sperm whales being more cosmopolitan.</w:t>
      </w:r>
    </w:p>
    <w:p>
      <w:pPr>
        <w:numPr>
          <w:ilvl w:val="1"/>
          <w:numId w:val="1002"/>
        </w:numPr>
      </w:pPr>
      <w:r>
        <w:rPr>
          <w:bCs/>
          <w:b/>
        </w:rPr>
        <w:t xml:space="preserve">Subpopulations</w:t>
      </w:r>
      <w:r>
        <w:t xml:space="preserve"> </w:t>
      </w:r>
      <w:r>
        <w:t xml:space="preserve">for understanding metapopulation dynamics</w:t>
      </w:r>
    </w:p>
    <w:p>
      <w:pPr>
        <w:numPr>
          <w:ilvl w:val="1"/>
          <w:numId w:val="1002"/>
        </w:numPr>
      </w:pPr>
      <w:r>
        <w:rPr>
          <w:bCs/>
          <w:b/>
        </w:rPr>
        <w:t xml:space="preserve">Behavior</w:t>
      </w:r>
      <w:r>
        <w:t xml:space="preserve">, such as migrating, feeding or breeding.</w:t>
      </w:r>
    </w:p>
    <w:p>
      <w:pPr>
        <w:pStyle w:val="FirstParagraph"/>
      </w:pPr>
      <w:r>
        <w:t xml:space="preserve">By definition</w:t>
      </w:r>
      <w:r>
        <w:t xml:space="preserve"> </w:t>
      </w:r>
      <w:r>
        <w:t xml:space="preserve">MBON</w:t>
      </w:r>
      <w:r>
        <w:t xml:space="preserve">Marine Biodiversity Observation Network; see MarineBON.org</w:t>
      </w:r>
      <w:r>
        <w:t xml:space="preserve"> </w:t>
      </w:r>
      <w:r>
        <w:t xml:space="preserve">is a network, so this is inclusive of and meant for all participants.</w:t>
      </w:r>
    </w:p>
    <w:bookmarkEnd w:id="24"/>
    <w:bookmarkStart w:id="28" w:name="inspirations"/>
    <w:p>
      <w:pPr>
        <w:pStyle w:val="Heading2"/>
      </w:pPr>
      <w:r>
        <w:t xml:space="preserve">1.3 Inspirations</w:t>
      </w:r>
    </w:p>
    <w:p>
      <w:pPr>
        <w:numPr>
          <w:ilvl w:val="0"/>
          <w:numId w:val="1003"/>
        </w:numPr>
      </w:pPr>
      <w:hyperlink r:id="rId25">
        <w:r>
          <w:rPr>
            <w:rStyle w:val="Hyperlink"/>
          </w:rPr>
          <w:t xml:space="preserve">AquaMaps.org</w:t>
        </w:r>
      </w:hyperlink>
      <w:r>
        <w:br/>
      </w:r>
      <w:r>
        <w:t xml:space="preserve">Lots of work. To be continued</w:t>
      </w:r>
    </w:p>
    <w:p>
      <w:pPr>
        <w:numPr>
          <w:ilvl w:val="0"/>
          <w:numId w:val="1003"/>
        </w:numPr>
      </w:pPr>
      <w:r>
        <w:t xml:space="preserve">R package</w:t>
      </w:r>
      <w:r>
        <w:t xml:space="preserve"> </w:t>
      </w:r>
      <w:r>
        <w:rPr>
          <w:rStyle w:val="VerbatimChar"/>
        </w:rPr>
        <w:t xml:space="preserve">dismo</w:t>
      </w:r>
      <w:r>
        <w:t xml:space="preserve">: sdm.pdf -&gt;</w:t>
      </w:r>
      <w:r>
        <w:t xml:space="preserve"> </w:t>
      </w:r>
      <w:hyperlink r:id="rId26">
        <w:r>
          <w:rPr>
            <w:rStyle w:val="VerbatimChar"/>
          </w:rPr>
          <w:t xml:space="preserve">raster</w:t>
        </w:r>
        <w:r>
          <w:rPr>
            <w:rStyle w:val="Hyperlink"/>
          </w:rPr>
          <w:t xml:space="preserve"> </w:t>
        </w:r>
        <w:r>
          <w:rPr>
            <w:rStyle w:val="Hyperlink"/>
          </w:rPr>
          <w:t xml:space="preserve">sdm</w:t>
        </w:r>
      </w:hyperlink>
      <w:r>
        <w:t xml:space="preserve"> </w:t>
      </w:r>
      <w:r>
        <w:t xml:space="preserve">-&gt;</w:t>
      </w:r>
      <w:r>
        <w:t xml:space="preserve"> </w:t>
      </w:r>
      <w:hyperlink r:id="rId27">
        <w:r>
          <w:rPr>
            <w:rStyle w:val="VerbatimChar"/>
          </w:rPr>
          <w:t xml:space="preserve">terra</w:t>
        </w:r>
        <w:r>
          <w:rPr>
            <w:rStyle w:val="Hyperlink"/>
          </w:rPr>
          <w:t xml:space="preserve"> </w:t>
        </w:r>
        <w:r>
          <w:rPr>
            <w:rStyle w:val="Hyperlink"/>
          </w:rPr>
          <w:t xml:space="preserve">sdm</w:t>
        </w:r>
      </w:hyperlink>
    </w:p>
    <w:bookmarkEnd w:id="28"/>
    <w:bookmarkEnd w:id="29"/>
    <w:bookmarkStart w:id="38" w:name="prep-data"/>
    <w:p>
      <w:pPr>
        <w:pStyle w:val="Heading1"/>
      </w:pPr>
      <w:r>
        <w:t xml:space="preserve">2. Prep Data</w:t>
      </w:r>
    </w:p>
    <w:tbl>
      <w:tblPr>
        <w:tblStyle w:val="Table"/>
        <w:tblW w:type="pct" w:w="5000"/>
        <w:tblLook w:firstRow="0" w:lastRow="0" w:firstColumn="0" w:lastColumn="0" w:noHBand="0" w:noVBand="0" w:val="0000"/>
        <w:jc w:val="start"/>
      </w:tblPr>
      <w:tblGrid>
        <w:gridCol w:w="7920"/>
      </w:tblGrid>
      <w:tr>
        <w:tc>
          <w:tcPr/>
          <w:bookmarkStart w:id="33" w:name="fig-prep"/>
          <w:p>
            <w:pPr>
              <w:jc w:val="center"/>
            </w:pPr>
            <w:r>
              <w:drawing>
                <wp:inline>
                  <wp:extent cx="5334000" cy="2252133"/>
                  <wp:effectExtent b="0" l="0" r="0" t="0"/>
                  <wp:docPr descr="" title="" id="31" name="Picture"/>
                  <a:graphic>
                    <a:graphicData uri="http://schemas.openxmlformats.org/drawingml/2006/picture">
                      <pic:pic>
                        <pic:nvPicPr>
                          <pic:cNvPr descr="prep-data_files/figure-docx/mermaid-figure-1.png" id="32" name="Picture"/>
                          <pic:cNvPicPr>
                            <a:picLocks noChangeArrowheads="1" noChangeAspect="1"/>
                          </pic:cNvPicPr>
                        </pic:nvPicPr>
                        <pic:blipFill>
                          <a:blip r:embed="rId30"/>
                          <a:stretch>
                            <a:fillRect/>
                          </a:stretch>
                        </pic:blipFill>
                        <pic:spPr bwMode="auto">
                          <a:xfrm>
                            <a:off x="0" y="0"/>
                            <a:ext cx="5334000" cy="22521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Diagram of SDM data preparation for model fitting.</w:t>
            </w:r>
          </w:p>
          <w:bookmarkEnd w:id="33"/>
        </w:tc>
      </w:tr>
    </w:tbl>
    <w:p>
      <w:pPr>
        <w:numPr>
          <w:ilvl w:val="0"/>
          <w:numId w:val="1004"/>
        </w:numPr>
        <w:pStyle w:val="Compact"/>
      </w:pPr>
      <w:r>
        <w:rPr>
          <w:bCs/>
          <w:b/>
        </w:rPr>
        <w:t xml:space="preserve">obs</w:t>
      </w:r>
      <w:r>
        <w:br/>
      </w:r>
      <w:r>
        <w:t xml:space="preserve">observations: occurrences from OBIS; masked by FAO regions defined by AquaMaps</w:t>
      </w:r>
      <w:r>
        <w:t xml:space="preserve"> </w:t>
      </w:r>
      <w:r>
        <w:t xml:space="preserve">(Skyttner 2020)</w:t>
      </w:r>
    </w:p>
    <w:p>
      <w:pPr>
        <w:numPr>
          <w:ilvl w:val="1"/>
          <w:numId w:val="1005"/>
        </w:numPr>
        <w:pStyle w:val="Compact"/>
      </w:pPr>
      <w:r>
        <w:rPr>
          <w:bCs/>
          <w:b/>
        </w:rPr>
        <w:t xml:space="preserve">presence</w:t>
      </w:r>
      <w:r>
        <w:br/>
      </w:r>
      <w:r>
        <w:t xml:space="preserve">OBIS: species occurrence</w:t>
      </w:r>
    </w:p>
    <w:p>
      <w:pPr>
        <w:numPr>
          <w:ilvl w:val="1"/>
          <w:numId w:val="1005"/>
        </w:numPr>
        <w:pStyle w:val="Compact"/>
      </w:pPr>
      <w:r>
        <w:rPr>
          <w:bCs/>
          <w:b/>
        </w:rPr>
        <w:t xml:space="preserve">absence</w:t>
      </w:r>
      <w:r>
        <w:br/>
      </w:r>
      <w:r>
        <w:t xml:space="preserve">OBIS not-species, but same family</w:t>
      </w:r>
    </w:p>
    <w:p>
      <w:pPr>
        <w:numPr>
          <w:ilvl w:val="0"/>
          <w:numId w:val="1004"/>
        </w:numPr>
        <w:pStyle w:val="Compact"/>
      </w:pPr>
      <w:r>
        <w:rPr>
          <w:bCs/>
          <w:b/>
        </w:rPr>
        <w:t xml:space="preserve">env</w:t>
      </w:r>
      <w:r>
        <w:br/>
      </w:r>
      <w:r>
        <w:t xml:space="preserve">environment</w:t>
      </w:r>
    </w:p>
    <w:p>
      <w:pPr>
        <w:numPr>
          <w:ilvl w:val="0"/>
          <w:numId w:val="1004"/>
        </w:numPr>
        <w:pStyle w:val="Compact"/>
      </w:pPr>
      <w:r>
        <w:rPr>
          <w:bCs/>
          <w:b/>
        </w:rPr>
        <w:t xml:space="preserve">tbl</w:t>
      </w:r>
      <w:r>
        <w:br/>
      </w:r>
      <w:r>
        <w:t xml:space="preserve">table of observations (presence and absence) with environmental values</w:t>
      </w:r>
    </w:p>
    <w:bookmarkStart w:id="34" w:name="environmental-predictors"/>
    <w:p>
      <w:pPr>
        <w:pStyle w:val="Heading3"/>
      </w:pPr>
      <w:r>
        <w:t xml:space="preserve">2.0.1 Environmental Predictors</w:t>
      </w:r>
    </w:p>
    <w:bookmarkEnd w:id="34"/>
    <w:bookmarkStart w:id="35" w:name="physiographic"/>
    <w:p>
      <w:pPr>
        <w:pStyle w:val="Heading3"/>
      </w:pPr>
      <w:r>
        <w:t xml:space="preserve">2.0.2 Physiographic</w:t>
      </w:r>
    </w:p>
    <w:p>
      <w:pPr>
        <w:numPr>
          <w:ilvl w:val="0"/>
          <w:numId w:val="1006"/>
        </w:numPr>
      </w:pPr>
      <w:r>
        <w:rPr>
          <w:rStyle w:val="VerbatimChar"/>
        </w:rPr>
        <w:t xml:space="preserve">depth</w:t>
      </w:r>
      <w:r>
        <w:br/>
      </w:r>
      <w:r>
        <w:t xml:space="preserve">Bathymetric Depth</w:t>
      </w:r>
    </w:p>
    <w:p>
      <w:pPr>
        <w:numPr>
          <w:ilvl w:val="0"/>
          <w:numId w:val="1006"/>
        </w:numPr>
      </w:pPr>
      <w:r>
        <w:rPr>
          <w:rStyle w:val="VerbatimChar"/>
        </w:rPr>
        <w:t xml:space="preserve">d2coast</w:t>
      </w:r>
      <w:r>
        <w:br/>
      </w:r>
      <w:r>
        <w:t xml:space="preserve">Distance to Coast</w:t>
      </w:r>
    </w:p>
    <w:p>
      <w:pPr>
        <w:numPr>
          <w:ilvl w:val="0"/>
          <w:numId w:val="1006"/>
        </w:numPr>
      </w:pPr>
      <w:r>
        <w:rPr>
          <w:rStyle w:val="VerbatimChar"/>
        </w:rPr>
        <w:t xml:space="preserve">d2shelf</w:t>
      </w:r>
      <w:r>
        <w:br/>
      </w:r>
      <w:r>
        <w:t xml:space="preserve">Distance to Shelf</w:t>
      </w:r>
    </w:p>
    <w:bookmarkEnd w:id="35"/>
    <w:bookmarkStart w:id="37" w:name="time-varying"/>
    <w:p>
      <w:pPr>
        <w:pStyle w:val="Heading3"/>
      </w:pPr>
      <w:r>
        <w:t xml:space="preserve">2.0.3 Time Varying</w:t>
      </w:r>
    </w:p>
    <w:p>
      <w:pPr>
        <w:numPr>
          <w:ilvl w:val="0"/>
          <w:numId w:val="1007"/>
        </w:numPr>
        <w:pStyle w:val="Compact"/>
      </w:pPr>
      <w:r>
        <w:rPr>
          <w:rStyle w:val="VerbatimChar"/>
        </w:rPr>
        <w:t xml:space="preserve">vgpm</w:t>
      </w:r>
      <w:r>
        <w:br/>
      </w:r>
      <w:r>
        <w:t xml:space="preserve">Vertically integrated primary Productivity model</w:t>
      </w:r>
    </w:p>
    <w:bookmarkStart w:id="36" w:name="depth-time-varying"/>
    <w:p>
      <w:pPr>
        <w:pStyle w:val="Heading4"/>
      </w:pPr>
      <w:r>
        <w:t xml:space="preserve">2.0.3.1 Depth &amp; Time Varying</w:t>
      </w:r>
    </w:p>
    <w:p>
      <w:pPr>
        <w:numPr>
          <w:ilvl w:val="0"/>
          <w:numId w:val="1008"/>
        </w:numPr>
      </w:pPr>
      <w:r>
        <w:t xml:space="preserve">Temperature</w:t>
      </w:r>
    </w:p>
    <w:p>
      <w:pPr>
        <w:numPr>
          <w:ilvl w:val="0"/>
          <w:numId w:val="1008"/>
        </w:numPr>
      </w:pPr>
      <w:r>
        <w:t xml:space="preserve">Salinity</w:t>
      </w:r>
    </w:p>
    <w:bookmarkEnd w:id="36"/>
    <w:bookmarkEnd w:id="37"/>
    <w:bookmarkEnd w:id="38"/>
    <w:bookmarkStart w:id="43" w:name="model"/>
    <w:p>
      <w:pPr>
        <w:pStyle w:val="Heading1"/>
      </w:pPr>
      <w:r>
        <w:t xml:space="preserve">3. Model</w:t>
      </w:r>
    </w:p>
    <w:tbl>
      <w:tblPr>
        <w:tblStyle w:val="Table"/>
        <w:tblW w:type="pct" w:w="5000"/>
        <w:tblLook w:firstRow="0" w:lastRow="0" w:firstColumn="0" w:lastColumn="0" w:noHBand="0" w:noVBand="0" w:val="0000"/>
        <w:jc w:val="start"/>
      </w:tblPr>
      <w:tblGrid>
        <w:gridCol w:w="7920"/>
      </w:tblGrid>
      <w:tr>
        <w:tc>
          <w:tcPr/>
          <w:bookmarkStart w:id="42" w:name="fig-model"/>
          <w:p>
            <w:pPr>
              <w:jc w:val="center"/>
            </w:pPr>
            <w:r>
              <w:drawing>
                <wp:inline>
                  <wp:extent cx="5334000" cy="1553307"/>
                  <wp:effectExtent b="0" l="0" r="0" t="0"/>
                  <wp:docPr descr="" title="" id="40" name="Picture"/>
                  <a:graphic>
                    <a:graphicData uri="http://schemas.openxmlformats.org/drawingml/2006/picture">
                      <pic:pic>
                        <pic:nvPicPr>
                          <pic:cNvPr descr="model_files/figure-docx/mermaid-figure-1.png" id="41" name="Picture"/>
                          <pic:cNvPicPr>
                            <a:picLocks noChangeArrowheads="1" noChangeAspect="1"/>
                          </pic:cNvPicPr>
                        </pic:nvPicPr>
                        <pic:blipFill>
                          <a:blip r:embed="rId39"/>
                          <a:stretch>
                            <a:fillRect/>
                          </a:stretch>
                        </pic:blipFill>
                        <pic:spPr bwMode="auto">
                          <a:xfrm>
                            <a:off x="0" y="0"/>
                            <a:ext cx="5334000" cy="15533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Diagram of SDM Modeling processes.</w:t>
            </w:r>
          </w:p>
          <w:bookmarkEnd w:id="42"/>
        </w:tc>
      </w:tr>
    </w:tbl>
    <w:bookmarkEnd w:id="43"/>
    <w:bookmarkStart w:id="48" w:name="mosaic"/>
    <w:p>
      <w:pPr>
        <w:pStyle w:val="Heading1"/>
      </w:pPr>
      <w:r>
        <w:t xml:space="preserve">4. Mosaic</w:t>
      </w:r>
    </w:p>
    <w:tbl>
      <w:tblPr>
        <w:tblStyle w:val="Table"/>
        <w:tblW w:type="pct" w:w="5000"/>
        <w:tblLook w:firstRow="0" w:lastRow="0" w:firstColumn="0" w:lastColumn="0" w:noHBand="0" w:noVBand="0" w:val="0000"/>
        <w:jc w:val="start"/>
      </w:tblPr>
      <w:tblGrid>
        <w:gridCol w:w="7920"/>
      </w:tblGrid>
      <w:tr>
        <w:tc>
          <w:tcPr/>
          <w:bookmarkStart w:id="47" w:name="fig-sdm-response-hierarchy"/>
          <w:p>
            <w:pPr>
              <w:jc w:val="center"/>
            </w:pPr>
            <w:r>
              <w:drawing>
                <wp:inline>
                  <wp:extent cx="5334000" cy="1180475"/>
                  <wp:effectExtent b="0" l="0" r="0" t="0"/>
                  <wp:docPr descr="" title="" id="45" name="Picture"/>
                  <a:graphic>
                    <a:graphicData uri="http://schemas.openxmlformats.org/drawingml/2006/picture">
                      <pic:pic>
                        <pic:nvPicPr>
                          <pic:cNvPr descr="figures/sdm-response-hiearchy.png" id="46" name="Picture"/>
                          <pic:cNvPicPr>
                            <a:picLocks noChangeArrowheads="1" noChangeAspect="1"/>
                          </pic:cNvPicPr>
                        </pic:nvPicPr>
                        <pic:blipFill>
                          <a:blip r:embed="rId44"/>
                          <a:stretch>
                            <a:fillRect/>
                          </a:stretch>
                        </pic:blipFill>
                        <pic:spPr bwMode="auto">
                          <a:xfrm>
                            <a:off x="0" y="0"/>
                            <a:ext cx="5334000" cy="11804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Hierarchy of preferred model outputs based on response type and age.</w:t>
            </w:r>
          </w:p>
          <w:bookmarkEnd w:id="47"/>
        </w:tc>
      </w:tr>
    </w:tbl>
    <w:p>
      <w:pPr>
        <w:pStyle w:val="BodyText"/>
      </w:pPr>
      <w:r>
        <w:t xml:space="preserve">This is illustrated well by</w:t>
      </w:r>
      <w:r>
        <w:t xml:space="preserve"> </w:t>
      </w:r>
      <w:hyperlink w:anchor="fig-sdm-response-hierarchy">
        <w:r>
          <w:rPr>
            <w:rStyle w:val="Hyperlink"/>
          </w:rPr>
          <w:t xml:space="preserve">Figure 4.1</w:t>
        </w:r>
      </w:hyperlink>
      <w:r>
        <w:t xml:space="preserve">.</w:t>
      </w:r>
    </w:p>
    <w:bookmarkEnd w:id="48"/>
    <w:bookmarkStart w:id="61" w:name="software"/>
    <w:p>
      <w:pPr>
        <w:pStyle w:val="Heading1"/>
      </w:pPr>
      <w:r>
        <w:t xml:space="preserve">5. Software</w:t>
      </w:r>
    </w:p>
    <w:bookmarkStart w:id="55" w:name="r"/>
    <w:p>
      <w:pPr>
        <w:pStyle w:val="Heading2"/>
      </w:pPr>
      <w:r>
        <w:t xml:space="preserve">5.1 R</w:t>
      </w:r>
    </w:p>
    <w:p>
      <w:pPr>
        <w:pStyle w:val="FirstParagraph"/>
      </w:pPr>
      <w:r>
        <w:t xml:space="preserve">Most packages have not yet migrated from using the deprecated</w:t>
      </w:r>
      <w:r>
        <w:t xml:space="preserve"> </w:t>
      </w:r>
      <w:r>
        <w:rPr>
          <w:rStyle w:val="VerbatimChar"/>
        </w:rPr>
        <w:t xml:space="preserve">raster</w:t>
      </w:r>
      <w:r>
        <w:t xml:space="preserve"> </w:t>
      </w:r>
      <w:r>
        <w:t xml:space="preserve">R package to the new</w:t>
      </w:r>
      <w:r>
        <w:t xml:space="preserve"> </w:t>
      </w:r>
      <w:r>
        <w:rPr>
          <w:rStyle w:val="VerbatimChar"/>
        </w:rPr>
        <w:t xml:space="preserve">terra</w:t>
      </w:r>
      <w:r>
        <w:t xml:space="preserve"> </w:t>
      </w:r>
      <w:r>
        <w:t xml:space="preserve">package, except for</w:t>
      </w:r>
      <w:r>
        <w:t xml:space="preserve"> </w:t>
      </w:r>
      <w:hyperlink r:id="rId49">
        <w:r>
          <w:rPr>
            <w:rStyle w:val="VerbatimChar"/>
          </w:rPr>
          <w:t xml:space="preserve">biomod2</w:t>
        </w:r>
      </w:hyperlink>
      <w:r>
        <w:t xml:space="preserve"> </w:t>
      </w:r>
      <w:r>
        <w:t xml:space="preserve">(ref?).</w:t>
      </w:r>
    </w:p>
    <w:p>
      <w:pPr>
        <w:numPr>
          <w:ilvl w:val="0"/>
          <w:numId w:val="1009"/>
        </w:numPr>
      </w:pPr>
      <w:hyperlink r:id="rId50">
        <w:r>
          <w:rPr>
            <w:rStyle w:val="VerbatimChar"/>
          </w:rPr>
          <w:t xml:space="preserve">eks</w:t>
        </w:r>
      </w:hyperlink>
      <w:r>
        <w:br/>
      </w:r>
      <w:r>
        <w:t xml:space="preserve">Tidy and Geospatial Kernel Smoothing</w:t>
      </w:r>
      <w:r>
        <w:br/>
      </w:r>
      <w:r>
        <w:t xml:space="preserve">for spatially filtering outlier observations</w:t>
      </w:r>
    </w:p>
    <w:tbl>
      <w:tblPr>
        <w:tblStyle w:val="Table"/>
        <w:tblW w:type="pct" w:w="5000"/>
        <w:tblLook w:firstRow="0" w:lastRow="0" w:firstColumn="0" w:lastColumn="0" w:noHBand="0" w:noVBand="0" w:val="0000"/>
        <w:jc w:val="start"/>
        <w:tblInd w:w="720" w:type="dxa"/>
      </w:tblPr>
      <w:tblGrid>
        <w:gridCol w:w="7920"/>
      </w:tblGrid>
      <w:tr>
        <w:tc>
          <w:tcPr/>
          <w:bookmarkStart w:id="54" w:name="fig-eks"/>
          <w:p>
            <w:pPr>
              <w:jc w:val="center"/>
            </w:pPr>
            <w:r>
              <w:drawing>
                <wp:inline>
                  <wp:extent cx="4620126" cy="4620126"/>
                  <wp:effectExtent b="0" l="0" r="0" t="0"/>
                  <wp:docPr descr="" title="" id="52" name="Picture"/>
                  <a:graphic>
                    <a:graphicData uri="http://schemas.openxmlformats.org/drawingml/2006/picture">
                      <pic:pic>
                        <pic:nvPicPr>
                          <pic:cNvPr descr="figures/software/eks.png" id="53" name="Picture"/>
                          <pic:cNvPicPr>
                            <a:picLocks noChangeArrowheads="1" noChangeAspect="1"/>
                          </pic:cNvPicPr>
                        </pic:nvPicPr>
                        <pic:blipFill>
                          <a:blip r:embed="rId51"/>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5.1: Source:</w:t>
            </w:r>
            <w:r>
              <w:t xml:space="preserve"> </w:t>
            </w:r>
            <w:hyperlink r:id="rId50">
              <w:r>
                <w:rPr>
                  <w:rStyle w:val="Hyperlink"/>
                </w:rPr>
                <w:t xml:space="preserve">Kernel density estimates for tidy and geospatial data in the eks package</w:t>
              </w:r>
            </w:hyperlink>
          </w:p>
          <w:bookmarkEnd w:id="54"/>
        </w:tc>
      </w:tr>
    </w:tbl>
    <w:p>
      <w:pPr>
        <w:numPr>
          <w:ilvl w:val="0"/>
          <w:numId w:val="1009"/>
        </w:numPr>
      </w:pPr>
      <w:r>
        <w:t xml:space="preserve">test</w:t>
      </w:r>
    </w:p>
    <w:bookmarkEnd w:id="55"/>
    <w:bookmarkStart w:id="57" w:name="python"/>
    <w:p>
      <w:pPr>
        <w:pStyle w:val="Heading2"/>
      </w:pPr>
      <w:r>
        <w:t xml:space="preserve">5.2 Python</w:t>
      </w:r>
    </w:p>
    <w:p>
      <w:pPr>
        <w:numPr>
          <w:ilvl w:val="0"/>
          <w:numId w:val="1010"/>
        </w:numPr>
        <w:pStyle w:val="Compact"/>
      </w:pPr>
      <w:hyperlink r:id="rId56">
        <w:r>
          <w:rPr>
            <w:rStyle w:val="Hyperlink"/>
          </w:rPr>
          <w:t xml:space="preserve">Xarray</w:t>
        </w:r>
      </w:hyperlink>
      <w:r>
        <w:br/>
      </w:r>
      <w:r>
        <w:t xml:space="preserve">Xarray makes working with labelled multi-dimensional arrays in Python simple, efficient, and fun!</w:t>
      </w:r>
    </w:p>
    <w:bookmarkEnd w:id="57"/>
    <w:bookmarkStart w:id="60" w:name="google-earth-engine"/>
    <w:p>
      <w:pPr>
        <w:pStyle w:val="Heading2"/>
      </w:pPr>
      <w:r>
        <w:t xml:space="preserve">5.3 Google Earth Engine</w:t>
      </w:r>
    </w:p>
    <w:p>
      <w:pPr>
        <w:numPr>
          <w:ilvl w:val="0"/>
          <w:numId w:val="1011"/>
        </w:numPr>
        <w:pStyle w:val="Compact"/>
      </w:pPr>
      <w:hyperlink r:id="rId58">
        <w:r>
          <w:rPr>
            <w:rStyle w:val="Hyperlink"/>
          </w:rPr>
          <w:t xml:space="preserve">XEE</w:t>
        </w:r>
      </w:hyperlink>
      <w:r>
        <w:br/>
      </w:r>
      <w:r>
        <w:t xml:space="preserve">XEE is a new Python package for Earth Engine that provides a set of functions to facilitate the use of Earth Engine API. It is designed to be used in Jupyter notebooks and Google Colab.</w:t>
      </w:r>
      <w:r>
        <w:t xml:space="preserve"> </w:t>
      </w:r>
      <w:hyperlink r:id="rId59">
        <w:r>
          <w:rPr>
            <w:rStyle w:val="Hyperlink"/>
          </w:rPr>
          <w:t xml:space="preserve">Documentation</w:t>
        </w:r>
      </w:hyperlink>
    </w:p>
    <w:bookmarkEnd w:id="60"/>
    <w:bookmarkEnd w:id="61"/>
    <w:bookmarkStart w:id="75" w:name="organize"/>
    <w:p>
      <w:pPr>
        <w:pStyle w:val="Heading1"/>
      </w:pPr>
      <w:r>
        <w:t xml:space="preserve">6. Organize</w:t>
      </w:r>
    </w:p>
    <w:bookmarkStart w:id="69" w:name="partners"/>
    <w:p>
      <w:pPr>
        <w:pStyle w:val="Heading2"/>
      </w:pPr>
      <w:r>
        <w:t xml:space="preserve">6.1 Partners</w:t>
      </w:r>
    </w:p>
    <w:p>
      <w:pPr>
        <w:numPr>
          <w:ilvl w:val="0"/>
          <w:numId w:val="1012"/>
        </w:numPr>
      </w:pPr>
      <w:r>
        <w:rPr>
          <w:iCs/>
          <w:i/>
          <w:bCs/>
          <w:b/>
        </w:rPr>
        <w:t xml:space="preserve">Confirmed</w:t>
      </w:r>
    </w:p>
    <w:p>
      <w:pPr>
        <w:numPr>
          <w:ilvl w:val="1"/>
          <w:numId w:val="1013"/>
        </w:numPr>
      </w:pPr>
      <w:hyperlink r:id="rId62">
        <w:r>
          <w:rPr>
            <w:rStyle w:val="Hyperlink"/>
            <w:bCs/>
            <w:b/>
          </w:rPr>
          <w:t xml:space="preserve">AquaMaps</w:t>
        </w:r>
      </w:hyperlink>
      <w:r>
        <w:br/>
      </w:r>
      <w:r>
        <w:rPr>
          <w:iCs/>
          <w:i/>
        </w:rPr>
        <w:t xml:space="preserve">distribution maps for over 33,500 species of fishes, marine mammals and invertebrates</w:t>
      </w:r>
      <w:r>
        <w:br/>
      </w:r>
      <w:r>
        <w:t xml:space="preserve">contacts:</w:t>
      </w:r>
    </w:p>
    <w:p>
      <w:pPr>
        <w:numPr>
          <w:ilvl w:val="2"/>
          <w:numId w:val="1014"/>
        </w:numPr>
        <w:pStyle w:val="Compact"/>
      </w:pPr>
      <w:r>
        <w:t xml:space="preserve">Gabriel Reygondeau (g.reygondeau@oceans.ubc.ca)</w:t>
      </w:r>
    </w:p>
    <w:p>
      <w:pPr>
        <w:numPr>
          <w:ilvl w:val="1"/>
          <w:numId w:val="1013"/>
        </w:numPr>
      </w:pPr>
      <w:hyperlink r:id="rId63">
        <w:r>
          <w:rPr>
            <w:rStyle w:val="Hyperlink"/>
            <w:bCs/>
            <w:b/>
          </w:rPr>
          <w:t xml:space="preserve">DisMAP</w:t>
        </w:r>
      </w:hyperlink>
      <w:r>
        <w:br/>
      </w:r>
      <w:r>
        <w:rPr>
          <w:iCs/>
          <w:i/>
        </w:rPr>
        <w:t xml:space="preserve">Distribution Mapping and Analysis Portal</w:t>
      </w:r>
      <w:r>
        <w:br/>
      </w:r>
      <w:r>
        <w:t xml:space="preserve">contacts:</w:t>
      </w:r>
    </w:p>
    <w:p>
      <w:pPr>
        <w:numPr>
          <w:ilvl w:val="2"/>
          <w:numId w:val="1015"/>
        </w:numPr>
      </w:pPr>
      <w:r>
        <w:t xml:space="preserve">Melissa Karp (melissa.karp@noaa.gov)</w:t>
      </w:r>
    </w:p>
    <w:p>
      <w:pPr>
        <w:numPr>
          <w:ilvl w:val="2"/>
          <w:numId w:val="1015"/>
        </w:numPr>
      </w:pPr>
      <w:r>
        <w:t xml:space="preserve">Roger Griffis (roger.b.griffis@noaa.gov)</w:t>
      </w:r>
    </w:p>
    <w:p>
      <w:pPr>
        <w:numPr>
          <w:ilvl w:val="1"/>
          <w:numId w:val="1013"/>
        </w:numPr>
      </w:pPr>
      <w:hyperlink r:id="rId64">
        <w:r>
          <w:rPr>
            <w:rStyle w:val="Hyperlink"/>
            <w:bCs/>
            <w:b/>
          </w:rPr>
          <w:t xml:space="preserve">MBON</w:t>
        </w:r>
      </w:hyperlink>
      <w:r>
        <w:br/>
      </w:r>
      <w:r>
        <w:rPr>
          <w:iCs/>
          <w:i/>
        </w:rPr>
        <w:t xml:space="preserve">Marine Biodiversity Observation Network</w:t>
      </w:r>
      <w:r>
        <w:br/>
      </w:r>
      <w:r>
        <w:t xml:space="preserve">contacts:</w:t>
      </w:r>
    </w:p>
    <w:p>
      <w:pPr>
        <w:numPr>
          <w:ilvl w:val="2"/>
          <w:numId w:val="1016"/>
        </w:numPr>
      </w:pPr>
      <w:r>
        <w:t xml:space="preserve">Ben Best</w:t>
      </w:r>
    </w:p>
    <w:p>
      <w:pPr>
        <w:numPr>
          <w:ilvl w:val="2"/>
          <w:numId w:val="1016"/>
        </w:numPr>
      </w:pPr>
      <w:r>
        <w:t xml:space="preserve">Tylar Murray</w:t>
      </w:r>
    </w:p>
    <w:p>
      <w:pPr>
        <w:numPr>
          <w:ilvl w:val="2"/>
          <w:numId w:val="1016"/>
        </w:numPr>
      </w:pPr>
      <w:r>
        <w:t xml:space="preserve">Dan Otis</w:t>
      </w:r>
    </w:p>
    <w:p>
      <w:pPr>
        <w:numPr>
          <w:ilvl w:val="2"/>
          <w:numId w:val="1016"/>
        </w:numPr>
      </w:pPr>
      <w:r>
        <w:t xml:space="preserve">Frank Muller-Karger</w:t>
      </w:r>
    </w:p>
    <w:p>
      <w:pPr>
        <w:numPr>
          <w:ilvl w:val="1"/>
          <w:numId w:val="1013"/>
        </w:numPr>
      </w:pPr>
      <w:hyperlink r:id="rId65">
        <w:r>
          <w:rPr>
            <w:rStyle w:val="Hyperlink"/>
            <w:bCs/>
            <w:b/>
          </w:rPr>
          <w:t xml:space="preserve">OBIS</w:t>
        </w:r>
      </w:hyperlink>
      <w:r>
        <w:br/>
      </w:r>
      <w:r>
        <w:rPr>
          <w:iCs/>
          <w:i/>
        </w:rPr>
        <w:t xml:space="preserve">Ocean Biodiversity Information System</w:t>
      </w:r>
      <w:r>
        <w:br/>
      </w:r>
      <w:r>
        <w:t xml:space="preserve">contacts:</w:t>
      </w:r>
    </w:p>
    <w:p>
      <w:pPr>
        <w:numPr>
          <w:ilvl w:val="2"/>
          <w:numId w:val="1017"/>
        </w:numPr>
      </w:pPr>
      <w:r>
        <w:t xml:space="preserve">Candido Principe De Souza, Silas (s.principe@unesco.org)</w:t>
      </w:r>
    </w:p>
    <w:p>
      <w:pPr>
        <w:numPr>
          <w:ilvl w:val="2"/>
          <w:numId w:val="1017"/>
        </w:numPr>
      </w:pPr>
      <w:r>
        <w:t xml:space="preserve">Ward Appeltans (w.appeltans@unesco.org)</w:t>
      </w:r>
    </w:p>
    <w:p>
      <w:pPr>
        <w:numPr>
          <w:ilvl w:val="0"/>
          <w:numId w:val="1012"/>
        </w:numPr>
      </w:pPr>
      <w:r>
        <w:rPr>
          <w:iCs/>
          <w:i/>
          <w:bCs/>
          <w:b/>
        </w:rPr>
        <w:t xml:space="preserve">Proposed</w:t>
      </w:r>
    </w:p>
    <w:p>
      <w:pPr>
        <w:numPr>
          <w:ilvl w:val="1"/>
          <w:numId w:val="1018"/>
        </w:numPr>
      </w:pPr>
      <w:hyperlink r:id="rId66">
        <w:r>
          <w:rPr>
            <w:rStyle w:val="Hyperlink"/>
            <w:bCs/>
            <w:b/>
          </w:rPr>
          <w:t xml:space="preserve">FishGLOB</w:t>
        </w:r>
      </w:hyperlink>
      <w:r>
        <w:br/>
      </w:r>
      <w:r>
        <w:rPr>
          <w:iCs/>
          <w:i/>
        </w:rPr>
        <w:t xml:space="preserve">fish biodiversity under global change (global bottom trawl)</w:t>
      </w:r>
      <w:r>
        <w:br/>
      </w:r>
      <w:r>
        <w:t xml:space="preserve">contacts:</w:t>
      </w:r>
    </w:p>
    <w:p>
      <w:pPr>
        <w:numPr>
          <w:ilvl w:val="2"/>
          <w:numId w:val="1019"/>
        </w:numPr>
        <w:pStyle w:val="Compact"/>
      </w:pPr>
      <w:r>
        <w:t xml:space="preserve">Malin Pinsky</w:t>
      </w:r>
    </w:p>
    <w:p>
      <w:pPr>
        <w:numPr>
          <w:ilvl w:val="1"/>
          <w:numId w:val="1018"/>
        </w:numPr>
      </w:pPr>
      <w:hyperlink r:id="rId67">
        <w:r>
          <w:rPr>
            <w:rStyle w:val="Hyperlink"/>
            <w:bCs/>
            <w:b/>
          </w:rPr>
          <w:t xml:space="preserve">MGEL</w:t>
        </w:r>
      </w:hyperlink>
      <w:r>
        <w:br/>
      </w:r>
      <w:r>
        <w:rPr>
          <w:iCs/>
          <w:i/>
        </w:rPr>
        <w:t xml:space="preserve">Marine Geospatial Ecology Lab, Duke</w:t>
      </w:r>
      <w:r>
        <w:br/>
      </w:r>
      <w:r>
        <w:t xml:space="preserve">contacts:</w:t>
      </w:r>
    </w:p>
    <w:p>
      <w:pPr>
        <w:numPr>
          <w:ilvl w:val="2"/>
          <w:numId w:val="1020"/>
        </w:numPr>
      </w:pPr>
      <w:r>
        <w:t xml:space="preserve">Jason Roberts</w:t>
      </w:r>
    </w:p>
    <w:p>
      <w:pPr>
        <w:numPr>
          <w:ilvl w:val="2"/>
          <w:numId w:val="1020"/>
        </w:numPr>
      </w:pPr>
      <w:r>
        <w:t xml:space="preserve">Patrick Halpin</w:t>
      </w:r>
    </w:p>
    <w:p>
      <w:pPr>
        <w:numPr>
          <w:ilvl w:val="1"/>
          <w:numId w:val="1018"/>
        </w:numPr>
      </w:pPr>
      <w:hyperlink r:id="rId68">
        <w:r>
          <w:rPr>
            <w:rStyle w:val="Hyperlink"/>
            <w:bCs/>
            <w:b/>
          </w:rPr>
          <w:t xml:space="preserve">PMEL</w:t>
        </w:r>
      </w:hyperlink>
      <w:r>
        <w:br/>
      </w:r>
      <w:r>
        <w:rPr>
          <w:iCs/>
          <w:i/>
        </w:rPr>
        <w:t xml:space="preserve">Pacific Marine Environmental Lab, NOAA</w:t>
      </w:r>
      <w:r>
        <w:br/>
      </w:r>
      <w:r>
        <w:t xml:space="preserve">contacts:</w:t>
      </w:r>
    </w:p>
    <w:p>
      <w:pPr>
        <w:numPr>
          <w:ilvl w:val="2"/>
          <w:numId w:val="1021"/>
        </w:numPr>
      </w:pPr>
      <w:r>
        <w:t xml:space="preserve">Heather Welch</w:t>
      </w:r>
    </w:p>
    <w:p>
      <w:pPr>
        <w:numPr>
          <w:ilvl w:val="2"/>
          <w:numId w:val="1021"/>
        </w:numPr>
      </w:pPr>
      <w:r>
        <w:t xml:space="preserve">Elliot Hazen</w:t>
      </w:r>
    </w:p>
    <w:bookmarkEnd w:id="69"/>
    <w:bookmarkStart w:id="71" w:name="portal"/>
    <w:p>
      <w:pPr>
        <w:pStyle w:val="Heading2"/>
      </w:pPr>
      <w:r>
        <w:t xml:space="preserve">6.2 Portal</w:t>
      </w:r>
    </w:p>
    <w:p>
      <w:pPr>
        <w:numPr>
          <w:ilvl w:val="0"/>
          <w:numId w:val="1022"/>
        </w:numPr>
        <w:pStyle w:val="Compact"/>
      </w:pPr>
      <w:r>
        <w:t xml:space="preserve">Candidate website:</w:t>
      </w:r>
      <w:r>
        <w:br/>
      </w:r>
      <w:hyperlink r:id="rId70">
        <w:r>
          <w:rPr>
            <w:rStyle w:val="Hyperlink"/>
          </w:rPr>
          <w:t xml:space="preserve">MarineSpeciesMaps.org</w:t>
        </w:r>
      </w:hyperlink>
      <w:r>
        <w:t xml:space="preserve"> </w:t>
      </w:r>
      <w:r>
        <w:t xml:space="preserve">(BDB registered domain)</w:t>
      </w:r>
    </w:p>
    <w:p>
      <w:pPr>
        <w:numPr>
          <w:ilvl w:val="1"/>
          <w:numId w:val="1023"/>
        </w:numPr>
        <w:pStyle w:val="Compact"/>
      </w:pPr>
      <w:r>
        <w:t xml:space="preserve">similar to:</w:t>
      </w:r>
    </w:p>
    <w:p>
      <w:pPr>
        <w:numPr>
          <w:ilvl w:val="2"/>
          <w:numId w:val="1024"/>
        </w:numPr>
        <w:pStyle w:val="Compact"/>
      </w:pPr>
      <w:r>
        <w:t xml:space="preserve">MarineRegions.org</w:t>
      </w:r>
      <w:r>
        <w:br/>
      </w:r>
      <w:r>
        <w:t xml:space="preserve">spatial authority</w:t>
      </w:r>
    </w:p>
    <w:p>
      <w:pPr>
        <w:numPr>
          <w:ilvl w:val="2"/>
          <w:numId w:val="1024"/>
        </w:numPr>
        <w:pStyle w:val="Compact"/>
      </w:pPr>
      <w:r>
        <w:t xml:space="preserve">MarineSpecies.org</w:t>
      </w:r>
      <w:r>
        <w:br/>
      </w:r>
      <w:r>
        <w:t xml:space="preserve">taxonomic authority</w:t>
      </w:r>
    </w:p>
    <w:bookmarkEnd w:id="71"/>
    <w:bookmarkStart w:id="74" w:name="timeline"/>
    <w:p>
      <w:pPr>
        <w:pStyle w:val="Heading2"/>
      </w:pPr>
      <w:r>
        <w:t xml:space="preserve">6.3 Timeline</w:t>
      </w:r>
    </w:p>
    <w:bookmarkStart w:id="72" w:name="meetings"/>
    <w:p>
      <w:pPr>
        <w:pStyle w:val="Heading3"/>
      </w:pPr>
      <w:r>
        <w:t xml:space="preserve">6.3.1 Meetings</w:t>
      </w:r>
    </w:p>
    <w:p>
      <w:pPr>
        <w:numPr>
          <w:ilvl w:val="0"/>
          <w:numId w:val="1025"/>
        </w:numPr>
      </w:pPr>
      <w:r>
        <w:rPr>
          <w:bCs/>
          <w:b/>
        </w:rPr>
        <w:t xml:space="preserve">2024-01-23</w:t>
      </w:r>
      <w:r>
        <w:br/>
      </w:r>
      <w:r>
        <w:t xml:space="preserve">Marine Biodiversity Summit in DC</w:t>
      </w:r>
      <w:r>
        <w:br/>
      </w:r>
      <w:r>
        <w:t xml:space="preserve">(organized by Gabrielle, Emmett)</w:t>
      </w:r>
    </w:p>
    <w:p>
      <w:pPr>
        <w:numPr>
          <w:ilvl w:val="0"/>
          <w:numId w:val="1025"/>
        </w:numPr>
      </w:pPr>
      <w:r>
        <w:rPr>
          <w:bCs/>
          <w:b/>
        </w:rPr>
        <w:t xml:space="preserve">2024-03-21</w:t>
      </w:r>
      <w:r>
        <w:br/>
      </w:r>
      <w:r>
        <w:t xml:space="preserve">SDM meeting in New Orleans</w:t>
      </w:r>
      <w:r>
        <w:br/>
      </w:r>
      <w:r>
        <w:t xml:space="preserve">(organized by BDB; so far AquaMaps)</w:t>
      </w:r>
    </w:p>
    <w:bookmarkEnd w:id="72"/>
    <w:bookmarkStart w:id="73" w:name="sequence"/>
    <w:p>
      <w:pPr>
        <w:pStyle w:val="Heading3"/>
      </w:pPr>
      <w:r>
        <w:t xml:space="preserve">6.3.2 Sequence</w:t>
      </w:r>
    </w:p>
    <w:bookmarkEnd w:id="73"/>
    <w:bookmarkEnd w:id="74"/>
    <w:bookmarkEnd w:id="75"/>
    <w:bookmarkStart w:id="89" w:name="references"/>
    <w:p>
      <w:pPr>
        <w:pStyle w:val="Heading1"/>
      </w:pPr>
      <w:r>
        <w:t xml:space="preserve">References</w:t>
      </w:r>
    </w:p>
    <w:bookmarkStart w:id="88" w:name="refs"/>
    <w:bookmarkStart w:id="77" w:name="ref-halpern2012"/>
    <w:p>
      <w:pPr>
        <w:pStyle w:val="Bibliography"/>
      </w:pPr>
      <w:r>
        <w:t xml:space="preserve">Halpern, Benjamin S., Catherine Longo, Darren Hardy, Karen L. McLeod, Jameal F. Samhouri, Steven K. Katona, Kristin Kleisner, et al. 2012.</w:t>
      </w:r>
      <w:r>
        <w:t xml:space="preserve"> </w:t>
      </w:r>
      <w:r>
        <w:t xml:space="preserve">“An Index to Assess the Health and Benefits of the Global Ocean.”</w:t>
      </w:r>
      <w:r>
        <w:t xml:space="preserve"> </w:t>
      </w:r>
      <w:r>
        <w:rPr>
          <w:iCs/>
          <w:i/>
        </w:rPr>
        <w:t xml:space="preserve">Nature</w:t>
      </w:r>
      <w:r>
        <w:t xml:space="preserve">.</w:t>
      </w:r>
      <w:r>
        <w:t xml:space="preserve"> </w:t>
      </w:r>
      <w:hyperlink r:id="rId76">
        <w:r>
          <w:rPr>
            <w:rStyle w:val="Hyperlink"/>
          </w:rPr>
          <w:t xml:space="preserve">https://doi.org/10.1038/nature11397</w:t>
        </w:r>
      </w:hyperlink>
      <w:r>
        <w:t xml:space="preserve">.</w:t>
      </w:r>
    </w:p>
    <w:bookmarkEnd w:id="77"/>
    <w:bookmarkStart w:id="79" w:name="ref-kaschner2006"/>
    <w:p>
      <w:pPr>
        <w:pStyle w:val="Bibliography"/>
      </w:pPr>
      <w:r>
        <w:t xml:space="preserve">Kaschner, K., R. Watson, A. W. Trites, and D. Pauly. 2006.</w:t>
      </w:r>
      <w:r>
        <w:t xml:space="preserve"> </w:t>
      </w:r>
      <w:r>
        <w:t xml:space="preserve">“Mapping World-Wide Distributions of Marine Mammal Species Using a Relative Environmental Suitability (RES) Model.”</w:t>
      </w:r>
      <w:r>
        <w:t xml:space="preserve"> </w:t>
      </w:r>
      <w:r>
        <w:rPr>
          <w:iCs/>
          <w:i/>
        </w:rPr>
        <w:t xml:space="preserve">Marine Ecology Progress Series</w:t>
      </w:r>
      <w:r>
        <w:t xml:space="preserve"> </w:t>
      </w:r>
      <w:r>
        <w:t xml:space="preserve">316 (July): 285–310.</w:t>
      </w:r>
      <w:r>
        <w:t xml:space="preserve"> </w:t>
      </w:r>
      <w:hyperlink r:id="rId78">
        <w:r>
          <w:rPr>
            <w:rStyle w:val="Hyperlink"/>
          </w:rPr>
          <w:t xml:space="preserve">https://doi.org/10.3354/meps316285</w:t>
        </w:r>
      </w:hyperlink>
      <w:r>
        <w:t xml:space="preserve">.</w:t>
      </w:r>
    </w:p>
    <w:bookmarkEnd w:id="79"/>
    <w:bookmarkStart w:id="81" w:name="ref-ready2010"/>
    <w:p>
      <w:pPr>
        <w:pStyle w:val="Bibliography"/>
      </w:pPr>
      <w:r>
        <w:t xml:space="preserve">Ready, Jonathan, Kristin Kaschner, Andy B. South, Paul D. Eastwood, Tony Rees, Josephine Rius, Eli Agbayani, Sven Kullander, and Rainer Froese. 2010.</w:t>
      </w:r>
      <w:r>
        <w:t xml:space="preserve"> </w:t>
      </w:r>
      <w:r>
        <w:t xml:space="preserve">“Predicting the Distributions of Marine Organisms at the Global Scale.”</w:t>
      </w:r>
      <w:r>
        <w:t xml:space="preserve"> </w:t>
      </w:r>
      <w:r>
        <w:rPr>
          <w:iCs/>
          <w:i/>
        </w:rPr>
        <w:t xml:space="preserve">Ecological Modelling</w:t>
      </w:r>
      <w:r>
        <w:t xml:space="preserve"> </w:t>
      </w:r>
      <w:r>
        <w:t xml:space="preserve">221 (3): 467–78.</w:t>
      </w:r>
      <w:r>
        <w:t xml:space="preserve"> </w:t>
      </w:r>
      <w:hyperlink r:id="rId80">
        <w:r>
          <w:rPr>
            <w:rStyle w:val="Hyperlink"/>
          </w:rPr>
          <w:t xml:space="preserve">https://doi.org/10.1016/j.ecolmodel.2009.10.025</w:t>
        </w:r>
      </w:hyperlink>
      <w:r>
        <w:t xml:space="preserve">.</w:t>
      </w:r>
    </w:p>
    <w:bookmarkEnd w:id="81"/>
    <w:bookmarkStart w:id="83" w:name="ref-aquamapsdata"/>
    <w:p>
      <w:pPr>
        <w:pStyle w:val="Bibliography"/>
      </w:pPr>
      <w:r>
        <w:t xml:space="preserve">Skyttner, Markus. 2020.</w:t>
      </w:r>
      <w:r>
        <w:t xml:space="preserve"> </w:t>
      </w:r>
      <w:r>
        <w:t xml:space="preserve">“Aquamapsdata: Curated Data from AquaMaps.org.”</w:t>
      </w:r>
      <w:r>
        <w:t xml:space="preserve"> </w:t>
      </w:r>
      <w:hyperlink r:id="rId82">
        <w:r>
          <w:rPr>
            <w:rStyle w:val="Hyperlink"/>
          </w:rPr>
          <w:t xml:space="preserve">https://github.com/raquamaps/aquamapsdata</w:t>
        </w:r>
      </w:hyperlink>
      <w:r>
        <w:t xml:space="preserve">.</w:t>
      </w:r>
    </w:p>
    <w:bookmarkEnd w:id="83"/>
    <w:bookmarkStart w:id="85" w:name="ref-tittensor2010"/>
    <w:p>
      <w:pPr>
        <w:pStyle w:val="Bibliography"/>
      </w:pPr>
      <w:r>
        <w:t xml:space="preserve">Tittensor, Derek P., Camilo Mora, Walter Jetz, Heike K. Lotze, Daniel Ricard, Edward Vanden Berghe, and Boris Worm. 2010.</w:t>
      </w:r>
      <w:r>
        <w:t xml:space="preserve"> </w:t>
      </w:r>
      <w:r>
        <w:t xml:space="preserve">“Global Patterns and Predictors of Marine Biodiversity Across Taxa.”</w:t>
      </w:r>
      <w:r>
        <w:t xml:space="preserve"> </w:t>
      </w:r>
      <w:r>
        <w:rPr>
          <w:iCs/>
          <w:i/>
        </w:rPr>
        <w:t xml:space="preserve">Nature</w:t>
      </w:r>
      <w:r>
        <w:t xml:space="preserve"> </w:t>
      </w:r>
      <w:r>
        <w:t xml:space="preserve">466 (7310): 1098–1101.</w:t>
      </w:r>
      <w:r>
        <w:t xml:space="preserve"> </w:t>
      </w:r>
      <w:hyperlink r:id="rId84">
        <w:r>
          <w:rPr>
            <w:rStyle w:val="Hyperlink"/>
          </w:rPr>
          <w:t xml:space="preserve">https://doi.org/10.1038/nature09329</w:t>
        </w:r>
      </w:hyperlink>
      <w:r>
        <w:t xml:space="preserve">.</w:t>
      </w:r>
    </w:p>
    <w:bookmarkEnd w:id="85"/>
    <w:bookmarkStart w:id="87" w:name="ref-visalli2020"/>
    <w:p>
      <w:pPr>
        <w:pStyle w:val="Bibliography"/>
      </w:pPr>
      <w:r>
        <w:t xml:space="preserve">Visalli, Morgan E., Benjamin D. Best, Reniel B. Cabral, William W. L. Cheung, Nichola A. Clark, Cristina Garilao, Kristin Kaschner, et al. 2020.</w:t>
      </w:r>
      <w:r>
        <w:t xml:space="preserve"> </w:t>
      </w:r>
      <w:r>
        <w:t xml:space="preserve">“Data-Driven Approach for Highlighting Priority Areas for Protection in Marine Areas Beyond National Jurisdiction.”</w:t>
      </w:r>
      <w:r>
        <w:t xml:space="preserve"> </w:t>
      </w:r>
      <w:r>
        <w:rPr>
          <w:iCs/>
          <w:i/>
        </w:rPr>
        <w:t xml:space="preserve">Marine Policy</w:t>
      </w:r>
      <w:r>
        <w:t xml:space="preserve">, March, 103927.</w:t>
      </w:r>
      <w:r>
        <w:t xml:space="preserve"> </w:t>
      </w:r>
      <w:hyperlink r:id="rId86">
        <w:r>
          <w:rPr>
            <w:rStyle w:val="Hyperlink"/>
          </w:rPr>
          <w:t xml:space="preserve">https://doi.org/10.1016/j.marpol.2020.103927</w:t>
        </w:r>
      </w:hyperlink>
      <w:r>
        <w:t xml:space="preserve">.</w:t>
      </w:r>
    </w:p>
    <w:bookmarkEnd w:id="87"/>
    <w:bookmarkEnd w:id="88"/>
    <w:bookmarkEnd w:id="89"/>
    <w:bookmarkStart w:id="90" w:name="glossary"/>
    <w:p>
      <w:pPr>
        <w:pStyle w:val="Heading1"/>
      </w:pPr>
      <w:r>
        <w:t xml:space="preserve">Appendix A — Glossary</w:t>
      </w:r>
    </w:p>
    <w:p>
      <w:pPr>
        <w:pStyle w:val="SourceCode"/>
      </w:pPr>
      <w:r>
        <w:rPr>
          <w:rStyle w:val="NormalTok"/>
        </w:rPr>
        <w:t xml:space="preserve">glossary</w:t>
      </w:r>
      <w:r>
        <w:rPr>
          <w:rStyle w:val="SpecialCharTok"/>
        </w:rPr>
        <w:t xml:space="preserve">::</w:t>
      </w:r>
      <w:r>
        <w:rPr>
          <w:rStyle w:val="FunctionTok"/>
        </w:rPr>
        <w:t xml:space="preserve">glossary_table</w:t>
      </w:r>
      <w:r>
        <w:rPr>
          <w:rStyle w:val="NormalTok"/>
        </w:rPr>
        <w:t xml:space="preserve">(</w:t>
      </w:r>
      <w:r>
        <w:rPr>
          <w:rStyle w:val="AttributeTok"/>
        </w:rPr>
        <w:t xml:space="preserve">as_kable=</w:t>
      </w:r>
      <w:r>
        <w:rPr>
          <w:rStyle w:val="NormalTok"/>
        </w:rPr>
        <w:t xml:space="preserve">F) </w:t>
      </w:r>
      <w:r>
        <w:rPr>
          <w:rStyle w:val="SpecialCharTok"/>
        </w:rPr>
        <w:t xml:space="preserve">|&gt;</w:t>
      </w:r>
      <w:r>
        <w:rPr>
          <w:rStyle w:val="NormalTok"/>
        </w:rPr>
        <w:t xml:space="preserve"> </w:t>
      </w:r>
      <w:r>
        <w:br/>
      </w:r>
      <w:r>
        <w:rPr>
          <w:rStyle w:val="NormalTok"/>
        </w:rPr>
        <w:t xml:space="preserve">  knitr</w:t>
      </w:r>
      <w:r>
        <w:rPr>
          <w:rStyle w:val="SpecialCharTok"/>
        </w:rPr>
        <w:t xml:space="preserve">::</w:t>
      </w:r>
      <w:r>
        <w:rPr>
          <w:rStyle w:val="FunctionTok"/>
        </w:rPr>
        <w:t xml:space="preserve">kable</w:t>
      </w:r>
      <w:r>
        <w:rPr>
          <w:rStyle w:val="NormalTok"/>
        </w:rPr>
        <w:t xml:space="preserve">(</w:t>
      </w:r>
      <w:r>
        <w:rPr>
          <w:rStyle w:val="StringTok"/>
        </w:rPr>
        <w:t xml:space="preserve">"pipe"</w:t>
      </w:r>
      <w:r>
        <w:rPr>
          <w:rStyle w:val="NormalTok"/>
        </w:rPr>
        <w:t xml:space="preserve">, </w:t>
      </w:r>
      <w:r>
        <w:rPr>
          <w:rStyle w:val="AttributeTok"/>
        </w:rPr>
        <w:t xml:space="preserve">escape =</w:t>
      </w:r>
      <w:r>
        <w:rPr>
          <w:rStyle w:val="NormalTok"/>
        </w:rPr>
        <w:t xml:space="preserve"> F, </w:t>
      </w:r>
      <w:r>
        <w:rPr>
          <w:rStyle w:val="AttributeTok"/>
        </w:rPr>
        <w:t xml:space="preserve">row.names =</w:t>
      </w:r>
      <w:r>
        <w:rPr>
          <w:rStyle w:val="NormalTok"/>
        </w:rPr>
        <w:t xml:space="preserve"> F)</w:t>
      </w:r>
    </w:p>
    <w:bookmarkEnd w:id="90"/>
    <w:bookmarkStart w:id="94" w:name="aquamaps-downscaled"/>
    <w:p>
      <w:pPr>
        <w:pStyle w:val="Heading1"/>
      </w:pPr>
      <w:r>
        <w:t xml:space="preserve">AquaMaps Downscaled</w:t>
      </w:r>
    </w:p>
    <w:p>
      <w:pPr>
        <w:pStyle w:val="FirstParagraph"/>
      </w:pPr>
      <w:r>
        <w:drawing>
          <wp:inline>
            <wp:extent cx="5334000" cy="2760009"/>
            <wp:effectExtent b="0" l="0" r="0" t="0"/>
            <wp:docPr descr="" title="" id="92" name="Picture"/>
            <a:graphic>
              <a:graphicData uri="http://schemas.openxmlformats.org/drawingml/2006/picture">
                <pic:pic>
                  <pic:nvPicPr>
                    <pic:cNvPr descr="figures/experiments/aquamaps-downscaled.png" id="93" name="Picture"/>
                    <pic:cNvPicPr>
                      <a:picLocks noChangeArrowheads="1" noChangeAspect="1"/>
                    </pic:cNvPicPr>
                  </pic:nvPicPr>
                  <pic:blipFill>
                    <a:blip r:embed="rId91"/>
                    <a:stretch>
                      <a:fillRect/>
                    </a:stretch>
                  </pic:blipFill>
                  <pic:spPr bwMode="auto">
                    <a:xfrm>
                      <a:off x="0" y="0"/>
                      <a:ext cx="5334000" cy="2760009"/>
                    </a:xfrm>
                    <a:prstGeom prst="rect">
                      <a:avLst/>
                    </a:prstGeom>
                    <a:noFill/>
                    <a:ln w="9525">
                      <a:noFill/>
                      <a:headEnd/>
                      <a:tailEnd/>
                    </a:ln>
                  </pic:spPr>
                </pic:pic>
              </a:graphicData>
            </a:graphic>
          </wp:inline>
        </w:drawing>
      </w:r>
    </w:p>
    <w:bookmarkEnd w:id="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IUCN RedList range maps:</w:t>
      </w:r>
      <w:r>
        <w:t xml:space="preserve"> </w:t>
      </w:r>
      <w:hyperlink r:id="rId21">
        <w:r>
          <w:rPr>
            <w:rStyle w:val="Hyperlink"/>
          </w:rPr>
          <w:t xml:space="preserve">https://www.iucnredlist.org/resources/spatial-data-download</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1" Target="media/rId91.png" /><Relationship Type="http://schemas.openxmlformats.org/officeDocument/2006/relationships/image" Id="rId44" Target="media/rId44.png" /><Relationship Type="http://schemas.openxmlformats.org/officeDocument/2006/relationships/image" Id="rId51" Target="media/rId51.png" /><Relationship Type="http://schemas.openxmlformats.org/officeDocument/2006/relationships/image" Id="rId39" Target="media/rId39.png" /><Relationship Type="http://schemas.openxmlformats.org/officeDocument/2006/relationships/image" Id="rId30" Target="media/rId30.png" /><Relationship Type="http://schemas.openxmlformats.org/officeDocument/2006/relationships/hyperlink" Id="rId70" Target="MarineSpeciesMaps.org" TargetMode="External" /><Relationship Type="http://schemas.openxmlformats.org/officeDocument/2006/relationships/hyperlink" Id="rId63" Target="https://apps-st.fisheries.noaa.gov/dismap/" TargetMode="External" /><Relationship Type="http://schemas.openxmlformats.org/officeDocument/2006/relationships/hyperlink" Id="rId25" Target="https://aquamaps.org/" TargetMode="External" /><Relationship Type="http://schemas.openxmlformats.org/officeDocument/2006/relationships/hyperlink" Id="rId49" Target="https://biomodhub.github.io/biomod2/" TargetMode="External" /><Relationship Type="http://schemas.openxmlformats.org/officeDocument/2006/relationships/hyperlink" Id="rId50" Target="https://cran.r-project.org/web/packages/eks/vignettes/tidysf_kde.html" TargetMode="External" /><Relationship Type="http://schemas.openxmlformats.org/officeDocument/2006/relationships/hyperlink" Id="rId56" Target="https://docs.xarray.dev/en/stable/" TargetMode="External" /><Relationship Type="http://schemas.openxmlformats.org/officeDocument/2006/relationships/hyperlink" Id="rId80" Target="https://doi.org/10.1016/j.ecolmodel.2009.10.025" TargetMode="External" /><Relationship Type="http://schemas.openxmlformats.org/officeDocument/2006/relationships/hyperlink" Id="rId86" Target="https://doi.org/10.1016/j.marpol.2020.103927" TargetMode="External" /><Relationship Type="http://schemas.openxmlformats.org/officeDocument/2006/relationships/hyperlink" Id="rId84" Target="https://doi.org/10.1038/nature09329" TargetMode="External" /><Relationship Type="http://schemas.openxmlformats.org/officeDocument/2006/relationships/hyperlink" Id="rId76" Target="https://doi.org/10.1038/nature11397" TargetMode="External" /><Relationship Type="http://schemas.openxmlformats.org/officeDocument/2006/relationships/hyperlink" Id="rId78" Target="https://doi.org/10.3354/meps316285" TargetMode="External" /><Relationship Type="http://schemas.openxmlformats.org/officeDocument/2006/relationships/hyperlink" Id="rId66" Target="https://fishglob.sites.ucsc.edu/" TargetMode="External" /><Relationship Type="http://schemas.openxmlformats.org/officeDocument/2006/relationships/hyperlink" Id="rId58" Target="https://github.com/google/Xee" TargetMode="External" /><Relationship Type="http://schemas.openxmlformats.org/officeDocument/2006/relationships/hyperlink" Id="rId82" Target="https://github.com/raquamaps/aquamapsdata" TargetMode="External" /><Relationship Type="http://schemas.openxmlformats.org/officeDocument/2006/relationships/hyperlink" Id="rId59" Target="https://google.github.io/Xee/" TargetMode="External" /><Relationship Type="http://schemas.openxmlformats.org/officeDocument/2006/relationships/hyperlink" Id="rId22" Target="https://marinebon.github.io/gmbi/articles/calc.html#assign-taxonomic-groups" TargetMode="External" /><Relationship Type="http://schemas.openxmlformats.org/officeDocument/2006/relationships/hyperlink" Id="rId64" Target="https://marinebon.org/" TargetMode="External" /><Relationship Type="http://schemas.openxmlformats.org/officeDocument/2006/relationships/hyperlink" Id="rId67" Target="https://mgel.env.duke.edu/" TargetMode="External" /><Relationship Type="http://schemas.openxmlformats.org/officeDocument/2006/relationships/hyperlink" Id="rId65" Target="https://obis.org/" TargetMode="External" /><Relationship Type="http://schemas.openxmlformats.org/officeDocument/2006/relationships/hyperlink" Id="rId26" Target="https://rspatial.org/raster/sdm/" TargetMode="External" /><Relationship Type="http://schemas.openxmlformats.org/officeDocument/2006/relationships/hyperlink" Id="rId27" Target="https://rspatial.org/sdm/" TargetMode="External" /><Relationship Type="http://schemas.openxmlformats.org/officeDocument/2006/relationships/hyperlink" Id="rId62" Target="https://www.aquamaps.org/"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68" Target="https://www.pmel.noaa.gov/" TargetMode="External" /></Relationships>
</file>

<file path=word/_rels/footnotes.xml.rels><?xml version="1.0" encoding="UTF-8"?><Relationships xmlns="http://schemas.openxmlformats.org/package/2006/relationships"><Relationship Type="http://schemas.openxmlformats.org/officeDocument/2006/relationships/hyperlink" Id="rId70" Target="MarineSpeciesMaps.org" TargetMode="External" /><Relationship Type="http://schemas.openxmlformats.org/officeDocument/2006/relationships/hyperlink" Id="rId63" Target="https://apps-st.fisheries.noaa.gov/dismap/" TargetMode="External" /><Relationship Type="http://schemas.openxmlformats.org/officeDocument/2006/relationships/hyperlink" Id="rId25" Target="https://aquamaps.org/" TargetMode="External" /><Relationship Type="http://schemas.openxmlformats.org/officeDocument/2006/relationships/hyperlink" Id="rId49" Target="https://biomodhub.github.io/biomod2/" TargetMode="External" /><Relationship Type="http://schemas.openxmlformats.org/officeDocument/2006/relationships/hyperlink" Id="rId50" Target="https://cran.r-project.org/web/packages/eks/vignettes/tidysf_kde.html" TargetMode="External" /><Relationship Type="http://schemas.openxmlformats.org/officeDocument/2006/relationships/hyperlink" Id="rId56" Target="https://docs.xarray.dev/en/stable/" TargetMode="External" /><Relationship Type="http://schemas.openxmlformats.org/officeDocument/2006/relationships/hyperlink" Id="rId80" Target="https://doi.org/10.1016/j.ecolmodel.2009.10.025" TargetMode="External" /><Relationship Type="http://schemas.openxmlformats.org/officeDocument/2006/relationships/hyperlink" Id="rId86" Target="https://doi.org/10.1016/j.marpol.2020.103927" TargetMode="External" /><Relationship Type="http://schemas.openxmlformats.org/officeDocument/2006/relationships/hyperlink" Id="rId84" Target="https://doi.org/10.1038/nature09329" TargetMode="External" /><Relationship Type="http://schemas.openxmlformats.org/officeDocument/2006/relationships/hyperlink" Id="rId76" Target="https://doi.org/10.1038/nature11397" TargetMode="External" /><Relationship Type="http://schemas.openxmlformats.org/officeDocument/2006/relationships/hyperlink" Id="rId78" Target="https://doi.org/10.3354/meps316285" TargetMode="External" /><Relationship Type="http://schemas.openxmlformats.org/officeDocument/2006/relationships/hyperlink" Id="rId66" Target="https://fishglob.sites.ucsc.edu/" TargetMode="External" /><Relationship Type="http://schemas.openxmlformats.org/officeDocument/2006/relationships/hyperlink" Id="rId58" Target="https://github.com/google/Xee" TargetMode="External" /><Relationship Type="http://schemas.openxmlformats.org/officeDocument/2006/relationships/hyperlink" Id="rId82" Target="https://github.com/raquamaps/aquamapsdata" TargetMode="External" /><Relationship Type="http://schemas.openxmlformats.org/officeDocument/2006/relationships/hyperlink" Id="rId59" Target="https://google.github.io/Xee/" TargetMode="External" /><Relationship Type="http://schemas.openxmlformats.org/officeDocument/2006/relationships/hyperlink" Id="rId22" Target="https://marinebon.github.io/gmbi/articles/calc.html#assign-taxonomic-groups" TargetMode="External" /><Relationship Type="http://schemas.openxmlformats.org/officeDocument/2006/relationships/hyperlink" Id="rId64" Target="https://marinebon.org/" TargetMode="External" /><Relationship Type="http://schemas.openxmlformats.org/officeDocument/2006/relationships/hyperlink" Id="rId67" Target="https://mgel.env.duke.edu/" TargetMode="External" /><Relationship Type="http://schemas.openxmlformats.org/officeDocument/2006/relationships/hyperlink" Id="rId65" Target="https://obis.org/" TargetMode="External" /><Relationship Type="http://schemas.openxmlformats.org/officeDocument/2006/relationships/hyperlink" Id="rId26" Target="https://rspatial.org/raster/sdm/" TargetMode="External" /><Relationship Type="http://schemas.openxmlformats.org/officeDocument/2006/relationships/hyperlink" Id="rId27" Target="https://rspatial.org/sdm/" TargetMode="External" /><Relationship Type="http://schemas.openxmlformats.org/officeDocument/2006/relationships/hyperlink" Id="rId62" Target="https://www.aquamaps.org/"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68" Target="https://www.pmel.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MarineSDMs</dc:title>
  <dc:creator>Ben Best</dc:creator>
  <cp:keywords/>
  <dcterms:created xsi:type="dcterms:W3CDTF">2023-11-20T23:26:51Z</dcterms:created>
  <dcterms:modified xsi:type="dcterms:W3CDTF">2023-11-20T23:26:51Z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2023-11-20</vt:lpwstr>
  </property>
  <property fmtid="{D5CDD505-2E9C-101B-9397-08002B2CF9AE}" pid="9" name="date-format">
    <vt:lpwstr>YYYY-MM-DD</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auto</vt:lpwstr>
  </property>
  <property fmtid="{D5CDD505-2E9C-101B-9397-08002B2CF9AE}" pid="16" name="subtitle">
    <vt:lpwstr>Marine Species Distribution Models</vt:lpwstr>
  </property>
  <property fmtid="{D5CDD505-2E9C-101B-9397-08002B2CF9AE}" pid="17" name="toc-title">
    <vt:lpwstr>Table of contents</vt:lpwstr>
  </property>
</Properties>
</file>