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136.png" ContentType="image/png"/>
  <Override PartName="/word/media/rId145.png" ContentType="image/png"/>
  <Override PartName="/word/media/rId59.png" ContentType="image/png"/>
  <Override PartName="/word/media/rId80.png" ContentType="image/png"/>
  <Override PartName="/word/media/rId55.png" ContentType="image/png"/>
  <Override PartName="/word/media/rId141.png" ContentType="image/png"/>
  <Override PartName="/word/media/rId49.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MarineSDMs</w:t>
      </w:r>
    </w:p>
    <w:p>
      <w:pPr>
        <w:pStyle w:val="Subtitle"/>
      </w:pPr>
      <w:r>
        <w:t xml:space="preserve">Marine</w:t>
      </w:r>
      <w:r>
        <w:t xml:space="preserve"> </w:t>
      </w:r>
      <w:r>
        <w:t xml:space="preserve">Species</w:t>
      </w:r>
      <w:r>
        <w:t xml:space="preserve"> </w:t>
      </w:r>
      <w:r>
        <w:t xml:space="preserve">Distribution</w:t>
      </w:r>
      <w:r>
        <w:t xml:space="preserve"> </w:t>
      </w:r>
      <w:r>
        <w:t xml:space="preserve">Models</w:t>
      </w:r>
    </w:p>
    <w:p>
      <w:pPr>
        <w:pStyle w:val="Author"/>
      </w:pPr>
      <w:r>
        <w:t xml:space="preserve">Ben</w:t>
      </w:r>
      <w:r>
        <w:t xml:space="preserve"> </w:t>
      </w:r>
      <w:r>
        <w:t xml:space="preserve">Best</w:t>
      </w:r>
    </w:p>
    <w:p>
      <w:pPr>
        <w:pStyle w:val="Date"/>
      </w:pPr>
      <w:r>
        <w:t xml:space="preserve">2023-11-21</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39" w:name="introduction"/>
    <w:p>
      <w:pPr>
        <w:pStyle w:val="Heading1"/>
      </w:pPr>
      <w:r>
        <w:t xml:space="preserve">1. Introduction</w:t>
      </w:r>
    </w:p>
    <w:bookmarkStart w:id="22" w:name="background"/>
    <w:p>
      <w:pPr>
        <w:pStyle w:val="Heading2"/>
      </w:pPr>
      <w:r>
        <w:t xml:space="preserve">1.1 Background</w:t>
      </w:r>
    </w:p>
    <w:p>
      <w:pPr>
        <w:pStyle w:val="FirstParagraph"/>
      </w:pPr>
      <w:r>
        <w:t xml:space="preserve">The best available global distributions are presently AquaMaps</w:t>
      </w:r>
      <w:r>
        <w:t xml:space="preserve"> </w:t>
      </w:r>
      <w:r>
        <w:t xml:space="preserve">(Kaschner et al. 2006; Ready et al. 2010)</w:t>
      </w:r>
      <w:r>
        <w:t xml:space="preserve"> </w:t>
      </w:r>
      <w:r>
        <w:t xml:space="preserve">with supplementation by IUCN RedList range maps</w:t>
      </w:r>
      <w:r>
        <w:rPr>
          <w:rStyle w:val="FootnoteReference"/>
        </w:rPr>
        <w:footnoteReference w:id="20"/>
      </w:r>
      <w:r>
        <w:t xml:space="preserve">. These have been used to calculate the biodiversity within Exclusive Economic Zones (EEZs)</w:t>
      </w:r>
      <w:r>
        <w:t xml:space="preserve"> </w:t>
      </w:r>
      <w:r>
        <w:t xml:space="preserve">(Halpern et al. 2012)</w:t>
      </w:r>
      <w:r>
        <w:t xml:space="preserve"> </w:t>
      </w:r>
      <w:r>
        <w:t xml:space="preserve">as well as beyond in the high seas</w:t>
      </w:r>
      <w:r>
        <w:t xml:space="preserve"> </w:t>
      </w:r>
      <w:r>
        <w:t xml:space="preserve">(Visalli et al. 2020)</w:t>
      </w:r>
      <w:r>
        <w:t xml:space="preserve">.</w:t>
      </w:r>
    </w:p>
    <w:bookmarkEnd w:id="22"/>
    <w:bookmarkStart w:id="23" w:name="goals"/>
    <w:p>
      <w:pPr>
        <w:pStyle w:val="Heading2"/>
      </w:pPr>
      <w:r>
        <w:t xml:space="preserve">1.2 Goals</w:t>
      </w:r>
    </w:p>
    <w:p>
      <w:pPr>
        <w:pStyle w:val="FirstParagraph"/>
      </w:pPr>
      <w:r>
        <w:t xml:space="preserve">This book is meant to capture the overview and details of modeling species distributions in the marine environment for the purposes of advancing the status quo of global and U.S. national species distributions along the following dimensions:</w:t>
      </w:r>
    </w:p>
    <w:p>
      <w:pPr>
        <w:numPr>
          <w:ilvl w:val="0"/>
          <w:numId w:val="1001"/>
        </w:numPr>
      </w:pPr>
      <w:r>
        <w:rPr>
          <w:bCs/>
          <w:b/>
        </w:rPr>
        <w:t xml:space="preserve">Space</w:t>
      </w:r>
      <w:r>
        <w:br/>
      </w:r>
      <w:r>
        <w:t xml:space="preserve">The current AquaMaps distributions are</w:t>
      </w:r>
      <w:r>
        <w:t xml:space="preserve"> </w:t>
      </w:r>
      <m:oMath>
        <m:r>
          <m:t>1</m:t>
        </m:r>
        <m:r>
          <m:rPr>
            <m:sty m:val="p"/>
          </m:rPr>
          <m:t>/</m:t>
        </m:r>
        <m:r>
          <m:t>2</m:t>
        </m:r>
      </m:oMath>
      <w:r>
        <w:t xml:space="preserve">º (~55 km at equator), whereas the best available global bathymetry is</w:t>
      </w:r>
      <w:r>
        <w:t xml:space="preserve"> </w:t>
      </w:r>
      <m:oMath>
        <m:r>
          <m:t>1</m:t>
        </m:r>
        <m:r>
          <m:rPr>
            <m:sty m:val="p"/>
          </m:rPr>
          <m:t>/</m:t>
        </m:r>
        <m:r>
          <m:t>240</m:t>
        </m:r>
      </m:oMath>
      <w:r>
        <w:t xml:space="preserve">º (&lt; 0.5 km).</w:t>
      </w:r>
    </w:p>
    <w:p>
      <w:pPr>
        <w:numPr>
          <w:ilvl w:val="0"/>
          <w:numId w:val="1001"/>
        </w:numPr>
      </w:pPr>
      <w:r>
        <w:rPr>
          <w:bCs/>
          <w:b/>
        </w:rPr>
        <w:t xml:space="preserve">Time</w:t>
      </w:r>
      <w:r>
        <w:br/>
      </w:r>
      <w:r>
        <w:t xml:space="preserve">The current AquaMaps distributions are based on static climatic averages over all seasons, which does not capture temporal dynamics: seasonally within a year, nor long-term climate change trends. This will necessitate sampling the environment contemporaneously with species observations before fitting the model and predicting to different environmental snapshots.</w:t>
      </w:r>
    </w:p>
    <w:p>
      <w:pPr>
        <w:numPr>
          <w:ilvl w:val="0"/>
          <w:numId w:val="1001"/>
        </w:numPr>
      </w:pPr>
      <w:r>
        <w:rPr>
          <w:bCs/>
          <w:b/>
        </w:rPr>
        <w:t xml:space="preserve">Environment</w:t>
      </w:r>
      <w:r>
        <w:br/>
      </w:r>
      <w:r>
        <w:t xml:space="preserve">Other environmental variables besides the initial physiographic (depth) and oceanographic (temperature, chlorophyll, primary productivity and ice) may elicit an improved statistical fit, related to species’ environmental niche. Some candidates include: temperature fronts, eddy kinetic energy, distance from shore, distance from shelf.</w:t>
      </w:r>
    </w:p>
    <w:p>
      <w:pPr>
        <w:numPr>
          <w:ilvl w:val="0"/>
          <w:numId w:val="1001"/>
        </w:numPr>
      </w:pPr>
      <w:r>
        <w:rPr>
          <w:bCs/>
          <w:b/>
        </w:rPr>
        <w:t xml:space="preserve">Biology</w:t>
      </w:r>
      <w:r>
        <w:br/>
      </w:r>
      <w:r>
        <w:t xml:space="preserve">Where sufficient observations exist, additional models should be developed highlighting differences between:</w:t>
      </w:r>
    </w:p>
    <w:p>
      <w:pPr>
        <w:numPr>
          <w:ilvl w:val="1"/>
          <w:numId w:val="1002"/>
        </w:numPr>
      </w:pPr>
      <w:r>
        <w:rPr>
          <w:bCs/>
          <w:b/>
        </w:rPr>
        <w:t xml:space="preserve">Life stage</w:t>
      </w:r>
      <w:r>
        <w:t xml:space="preserve">, e.g. larval vs adult.</w:t>
      </w:r>
    </w:p>
    <w:p>
      <w:pPr>
        <w:numPr>
          <w:ilvl w:val="1"/>
          <w:numId w:val="1002"/>
        </w:numPr>
      </w:pPr>
      <w:r>
        <w:rPr>
          <w:bCs/>
          <w:b/>
        </w:rPr>
        <w:t xml:space="preserve">Gender</w:t>
      </w:r>
      <w:r>
        <w:t xml:space="preserve"> </w:t>
      </w:r>
      <w:r>
        <w:t xml:space="preserve">where varies, such as male sperm whales being more cosmopolitan.</w:t>
      </w:r>
    </w:p>
    <w:p>
      <w:pPr>
        <w:numPr>
          <w:ilvl w:val="1"/>
          <w:numId w:val="1002"/>
        </w:numPr>
      </w:pPr>
      <w:r>
        <w:rPr>
          <w:bCs/>
          <w:b/>
        </w:rPr>
        <w:t xml:space="preserve">Subpopulations</w:t>
      </w:r>
      <w:r>
        <w:t xml:space="preserve"> </w:t>
      </w:r>
      <w:r>
        <w:t xml:space="preserve">for understanding metapopulation dynamics</w:t>
      </w:r>
    </w:p>
    <w:p>
      <w:pPr>
        <w:numPr>
          <w:ilvl w:val="1"/>
          <w:numId w:val="1002"/>
        </w:numPr>
      </w:pPr>
      <w:r>
        <w:rPr>
          <w:bCs/>
          <w:b/>
        </w:rPr>
        <w:t xml:space="preserve">Behavior</w:t>
      </w:r>
      <w:r>
        <w:t xml:space="preserve">, such as migrating, feeding or breeding.</w:t>
      </w:r>
    </w:p>
    <w:p>
      <w:pPr>
        <w:pStyle w:val="FirstParagraph"/>
      </w:pPr>
      <w:r>
        <w:t xml:space="preserve">By definition</w:t>
      </w:r>
      <w:r>
        <w:t xml:space="preserve"> </w:t>
      </w:r>
      <w:r>
        <w:t xml:space="preserve">MBON</w:t>
      </w:r>
      <w:r>
        <w:t xml:space="preserve">Marine Biodiversity Observation Network; see MarineBON.org</w:t>
      </w:r>
      <w:r>
        <w:t xml:space="preserve"> </w:t>
      </w:r>
      <w:r>
        <w:t xml:space="preserve">is a network, so this is inclusive of and meant for all participants.</w:t>
      </w:r>
    </w:p>
    <w:bookmarkEnd w:id="23"/>
    <w:bookmarkStart w:id="31" w:name="motivations"/>
    <w:p>
      <w:pPr>
        <w:pStyle w:val="Heading2"/>
      </w:pPr>
      <w:r>
        <w:t xml:space="preserve">1.3 Motivations</w:t>
      </w:r>
    </w:p>
    <w:p>
      <w:pPr>
        <w:numPr>
          <w:ilvl w:val="0"/>
          <w:numId w:val="1003"/>
        </w:numPr>
      </w:pPr>
      <w:hyperlink r:id="rId24">
        <w:r>
          <w:rPr>
            <w:rStyle w:val="Hyperlink"/>
          </w:rPr>
          <w:t xml:space="preserve">AquaMaps.org</w:t>
        </w:r>
      </w:hyperlink>
      <w:r>
        <w:br/>
      </w:r>
      <w:r>
        <w:t xml:space="preserve">AquaMaps</w:t>
      </w:r>
      <w:r>
        <w:t xml:space="preserve"> </w:t>
      </w:r>
      <w:r>
        <w:t xml:space="preserve">(Kaschner et al. 2006; Ready et al. 2010)</w:t>
      </w:r>
      <w:r>
        <w:t xml:space="preserve"> </w:t>
      </w:r>
      <w:r>
        <w:t xml:space="preserve">represents a massive amount of work to gather parameters for &gt;33.5K marine species, including areas to mask out.</w:t>
      </w:r>
    </w:p>
    <w:p>
      <w:pPr>
        <w:numPr>
          <w:ilvl w:val="0"/>
          <w:numId w:val="1003"/>
        </w:numPr>
      </w:pPr>
      <w:hyperlink r:id="rId25">
        <w:r>
          <w:rPr>
            <w:rStyle w:val="Hyperlink"/>
          </w:rPr>
          <w:t xml:space="preserve">OBIS.org</w:t>
        </w:r>
      </w:hyperlink>
      <w:r>
        <w:br/>
      </w:r>
      <w:r>
        <w:t xml:space="preserve">The Ocean Biogeographic Information System</w:t>
      </w:r>
      <w:r>
        <w:t xml:space="preserve"> </w:t>
      </w:r>
      <w:r>
        <w:t xml:space="preserve">(Klein et al. 2019; Grassle 2000)</w:t>
      </w:r>
      <w:r>
        <w:t xml:space="preserve">is the central portal for continuously added observations with extra flags for quality control, all of which makes marine SDMs possible.</w:t>
      </w:r>
    </w:p>
    <w:p>
      <w:pPr>
        <w:numPr>
          <w:ilvl w:val="0"/>
          <w:numId w:val="1003"/>
        </w:numPr>
      </w:pPr>
      <w:r>
        <w:rPr>
          <w:bCs/>
          <w:b/>
        </w:rPr>
        <w:t xml:space="preserve">Modeling</w:t>
      </w:r>
      <w:r>
        <w:t xml:space="preserve"> </w:t>
      </w:r>
      <w:r>
        <w:t xml:space="preserve">methods have dramatically improved over time and are ripe for fresh application. The R package</w:t>
      </w:r>
      <w:r>
        <w:t xml:space="preserve"> </w:t>
      </w:r>
      <w:r>
        <w:rPr>
          <w:rStyle w:val="VerbatimChar"/>
        </w:rPr>
        <w:t xml:space="preserve">dismo</w:t>
      </w:r>
      <w:r>
        <w:t xml:space="preserve"> </w:t>
      </w:r>
      <w:r>
        <w:t xml:space="preserve">originally came came out with an</w:t>
      </w:r>
      <w:r>
        <w:t xml:space="preserve"> </w:t>
      </w:r>
      <w:hyperlink r:id="rId26">
        <w:r>
          <w:rPr>
            <w:rStyle w:val="Hyperlink"/>
          </w:rPr>
          <w:t xml:space="preserve">SDM vignette</w:t>
        </w:r>
      </w:hyperlink>
      <w:r>
        <w:t xml:space="preserve"> </w:t>
      </w:r>
      <w:r>
        <w:t xml:space="preserve">as a practical supplement to their excellent review of SDMs</w:t>
      </w:r>
      <w:r>
        <w:t xml:space="preserve"> </w:t>
      </w:r>
      <w:r>
        <w:t xml:space="preserve">(Elith and Leathwick 2009)</w:t>
      </w:r>
      <w:r>
        <w:t xml:space="preserve"> </w:t>
      </w:r>
      <w:r>
        <w:t xml:space="preserve">and using the Maxent algorithm</w:t>
      </w:r>
      <w:r>
        <w:t xml:space="preserve"> </w:t>
      </w:r>
      <w:r>
        <w:t xml:space="preserve">(Elith et al. 2011)</w:t>
      </w:r>
      <w:r>
        <w:t xml:space="preserve">. The raster package furthered that (raster</w:t>
      </w:r>
      <w:hyperlink r:id="rId27">
        <w:r>
          <w:rPr>
            <w:rStyle w:val="Hyperlink"/>
          </w:rPr>
          <w:t xml:space="preserve">sdm</w:t>
        </w:r>
      </w:hyperlink>
      <w:r>
        <w:t xml:space="preserve">) and now there’s</w:t>
      </w:r>
      <w:r>
        <w:t xml:space="preserve"> </w:t>
      </w:r>
      <w:hyperlink r:id="rId28">
        <w:r>
          <w:rPr>
            <w:rStyle w:val="VerbatimChar"/>
          </w:rPr>
          <w:t xml:space="preserve">terra</w:t>
        </w:r>
        <w:r>
          <w:rPr>
            <w:rStyle w:val="Hyperlink"/>
          </w:rPr>
          <w:t xml:space="preserve"> </w:t>
        </w:r>
        <w:r>
          <w:rPr>
            <w:rStyle w:val="Hyperlink"/>
          </w:rPr>
          <w:t xml:space="preserve">sdm</w:t>
        </w:r>
      </w:hyperlink>
      <w:r>
        <w:t xml:space="preserve">. Alongside these developments has been a boon of cloud-computing, particularly Google Earth Engine</w:t>
      </w:r>
      <w:r>
        <w:t xml:space="preserve"> </w:t>
      </w:r>
      <w:r>
        <w:t xml:space="preserve">(Gorelick et al. 2017; Campos et al. 2023)</w:t>
      </w:r>
      <w:r>
        <w:t xml:space="preserve">, allowing for dense global raster processing.</w:t>
      </w:r>
    </w:p>
    <w:p>
      <w:pPr>
        <w:numPr>
          <w:ilvl w:val="0"/>
          <w:numId w:val="1003"/>
        </w:numPr>
      </w:pPr>
      <w:r>
        <w:t xml:space="preserve">The world is quickly moving towards a future trying to conserve 30% of the oceans by 2030, so called</w:t>
      </w:r>
      <w:r>
        <w:t xml:space="preserve"> </w:t>
      </w:r>
      <w:r>
        <w:t xml:space="preserve">“</w:t>
      </w:r>
      <w:hyperlink r:id="rId29">
        <w:r>
          <w:rPr>
            <w:rStyle w:val="Hyperlink"/>
            <w:bCs/>
            <w:b/>
          </w:rPr>
          <w:t xml:space="preserve">30 by 30</w:t>
        </w:r>
      </w:hyperlink>
      <w:r>
        <w:t xml:space="preserve">”</w:t>
      </w:r>
      <w:r>
        <w:t xml:space="preserve">. In the U.S., this is</w:t>
      </w:r>
      <w:r>
        <w:t xml:space="preserve"> </w:t>
      </w:r>
      <w:hyperlink r:id="rId30">
        <w:r>
          <w:rPr>
            <w:rStyle w:val="Hyperlink"/>
          </w:rPr>
          <w:t xml:space="preserve">America the Beautiful</w:t>
        </w:r>
      </w:hyperlink>
      <w:r>
        <w:t xml:space="preserve"> </w:t>
      </w:r>
      <w:r>
        <w:t xml:space="preserve">initiative. We need biodiversity indicators to track progress. This push for conservation is driven by increasing impacts of</w:t>
      </w:r>
      <w:r>
        <w:t xml:space="preserve"> </w:t>
      </w:r>
      <w:r>
        <w:rPr>
          <w:bCs/>
          <w:b/>
        </w:rPr>
        <w:t xml:space="preserve">climate change</w:t>
      </w:r>
      <w:r>
        <w:t xml:space="preserve">, as evidenced by marine heatwaves and shifts in population distributions.</w:t>
      </w:r>
    </w:p>
    <w:bookmarkEnd w:id="31"/>
    <w:bookmarkStart w:id="38" w:name="contribute"/>
    <w:p>
      <w:pPr>
        <w:pStyle w:val="Heading2"/>
      </w:pPr>
      <w:r>
        <w:t xml:space="preserve">1.4 Contribute</w:t>
      </w:r>
    </w:p>
    <w:p>
      <w:pPr>
        <w:pStyle w:val="FirstParagraph"/>
      </w:pPr>
      <w:r>
        <w:t xml:space="preserve">We very much welcome your feedback, contributions and collaboration. Here are a few ways from least to most involved:</w:t>
      </w:r>
    </w:p>
    <w:p>
      <w:pPr>
        <w:numPr>
          <w:ilvl w:val="0"/>
          <w:numId w:val="1004"/>
        </w:numPr>
      </w:pPr>
      <w:r>
        <w:t xml:space="preserve">Email Ben (ben@ecoquants.com) with any suggestions, including suggested revisions of this online book.</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numPr>
                <w:ilvl w:val="0"/>
                <w:numId w:val="1000"/>
              </w:numPr>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Applications/quarto/share/formats/docx/note.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numPr>
                <w:ilvl w:val="0"/>
                <w:numId w:val="1000"/>
              </w:numPr>
            </w:pPr>
            <w:pPr>
              <w:spacing w:before="16"/>
            </w:pPr>
            <w:r>
              <w:t xml:space="preserve">Note that you can download this entire book as:</w:t>
            </w:r>
          </w:p>
          <w:p>
            <w:pPr>
              <w:numPr>
                <w:ilvl w:val="1"/>
                <w:numId w:val="1005"/>
              </w:numPr>
            </w:pPr>
            <w:r>
              <w:t xml:space="preserve"> Adobe Acrobat</w:t>
            </w:r>
            <w:r>
              <w:t xml:space="preserve"> </w:t>
            </w:r>
            <w:hyperlink r:id="rId35">
              <w:r>
                <w:rPr>
                  <w:rStyle w:val="Hyperlink"/>
                </w:rPr>
                <w:t xml:space="preserve">pdf</w:t>
              </w:r>
            </w:hyperlink>
            <w:r>
              <w:t xml:space="preserve"> </w:t>
            </w:r>
            <w:r>
              <w:t xml:space="preserve">to add annotations; or</w:t>
            </w:r>
          </w:p>
          <w:p>
            <w:pPr>
              <w:numPr>
                <w:ilvl w:val="1"/>
                <w:numId w:val="1005"/>
              </w:numPr>
            </w:pPr>
            <w:r>
              <w:t xml:space="preserve"> Microsoft Word</w:t>
            </w:r>
            <w:r>
              <w:t xml:space="preserve"> </w:t>
            </w:r>
            <w:hyperlink r:id="rId36">
              <w:r>
                <w:rPr>
                  <w:rStyle w:val="Hyperlink"/>
                </w:rPr>
                <w:t xml:space="preserve">docx</w:t>
              </w:r>
            </w:hyperlink>
            <w:r>
              <w:t xml:space="preserve"> </w:t>
            </w:r>
            <w:r>
              <w:t xml:space="preserve">to edit with Track Changes on.</w:t>
            </w:r>
          </w:p>
          <w:p>
            <w:pPr>
              <w:numPr>
                <w:ilvl w:val="0"/>
                <w:numId w:val="1000"/>
              </w:numPr>
            </w:pPr>
            <w:pPr>
              <w:spacing w:after="16"/>
            </w:pPr>
            <w:r>
              <w:t xml:space="preserve">These are available in the upper left navigation menu by clicking the download icon</w:t>
            </w:r>
            <w:r>
              <w:t xml:space="preserve"> </w:t>
            </w:r>
            <w:r>
              <w:t xml:space="preserve">.</w:t>
            </w:r>
          </w:p>
        </w:tc>
      </w:tr>
    </w:tbl>
    <w:p>
      <w:pPr>
        <w:numPr>
          <w:ilvl w:val="0"/>
          <w:numId w:val="1004"/>
        </w:numPr>
      </w:pPr>
      <w:r>
        <w:t xml:space="preserve">Submit a</w:t>
      </w:r>
      <w:r>
        <w:t xml:space="preserve"> </w:t>
      </w:r>
      <w:hyperlink r:id="rId37">
        <w:r>
          <w:rPr>
            <w:rStyle w:val="Hyperlink"/>
          </w:rPr>
          <w:t xml:space="preserve">New Issue</w:t>
        </w:r>
      </w:hyperlink>
      <w:r>
        <w:t xml:space="preserve"> </w:t>
      </w:r>
      <w:r>
        <w:t xml:space="preserve">on Github.</w:t>
      </w:r>
    </w:p>
    <w:p>
      <w:pPr>
        <w:numPr>
          <w:ilvl w:val="0"/>
          <w:numId w:val="1004"/>
        </w:numPr>
      </w:pPr>
      <w:r>
        <w:t xml:space="preserve">Click on the</w:t>
      </w:r>
      <w:r>
        <w:t xml:space="preserve"> </w:t>
      </w:r>
      <w:r>
        <w:t xml:space="preserve">“</w:t>
      </w:r>
      <w:r>
        <w:t xml:space="preserve">Edit this Page</w:t>
      </w:r>
      <w:r>
        <w:t xml:space="preserve">”</w:t>
      </w:r>
      <w:r>
        <w:t xml:space="preserve"> </w:t>
      </w:r>
      <w:r>
        <w:t xml:space="preserve">in the upper right. If you have a Github account, then you can fork this repository from owner</w:t>
      </w:r>
      <w:r>
        <w:t xml:space="preserve"> </w:t>
      </w:r>
      <w:r>
        <w:t xml:space="preserve">“</w:t>
      </w:r>
      <w:r>
        <w:t xml:space="preserve">marinebon</w:t>
      </w:r>
      <w:r>
        <w:t xml:space="preserve">”</w:t>
      </w:r>
      <w:r>
        <w:t xml:space="preserve"> </w:t>
      </w:r>
      <w:r>
        <w:t xml:space="preserve">to your username, edit the page(s) and submit a pull request.</w:t>
      </w:r>
    </w:p>
    <w:p>
      <w:pPr>
        <w:numPr>
          <w:ilvl w:val="0"/>
          <w:numId w:val="1004"/>
        </w:numPr>
      </w:pPr>
      <w:r>
        <w:t xml:space="preserve">If you are a regular contributor, you can be added to the collaborators of this repository to make push changes directly (without needing a pull request).</w:t>
      </w:r>
    </w:p>
    <w:bookmarkEnd w:id="38"/>
    <w:bookmarkEnd w:id="39"/>
    <w:bookmarkStart w:id="48" w:name="prepare-data"/>
    <w:p>
      <w:pPr>
        <w:pStyle w:val="Heading1"/>
      </w:pPr>
      <w:r>
        <w:t xml:space="preserve">2. Prepare Data</w:t>
      </w:r>
    </w:p>
    <w:tbl>
      <w:tblPr>
        <w:tblStyle w:val="Table"/>
        <w:tblW w:type="pct" w:w="5000"/>
        <w:tblLook w:firstRow="0" w:lastRow="0" w:firstColumn="0" w:lastColumn="0" w:noHBand="0" w:noVBand="0" w:val="0000"/>
        <w:jc w:val="start"/>
      </w:tblPr>
      <w:tblGrid>
        <w:gridCol w:w="7920"/>
      </w:tblGrid>
      <w:tr>
        <w:tc>
          <w:tcPr/>
          <w:bookmarkStart w:id="43" w:name="fig-prep"/>
          <w:p>
            <w:pPr>
              <w:jc w:val="center"/>
            </w:pPr>
            <w:r>
              <w:drawing>
                <wp:inline>
                  <wp:extent cx="5334000" cy="2252133"/>
                  <wp:effectExtent b="0" l="0" r="0" t="0"/>
                  <wp:docPr descr="" title="" id="41" name="Picture"/>
                  <a:graphic>
                    <a:graphicData uri="http://schemas.openxmlformats.org/drawingml/2006/picture">
                      <pic:pic>
                        <pic:nvPicPr>
                          <pic:cNvPr descr="prep-data_files/figure-docx/mermaid-figure-1.png" id="42" name="Picture"/>
                          <pic:cNvPicPr>
                            <a:picLocks noChangeArrowheads="1" noChangeAspect="1"/>
                          </pic:cNvPicPr>
                        </pic:nvPicPr>
                        <pic:blipFill>
                          <a:blip r:embed="rId40"/>
                          <a:stretch>
                            <a:fillRect/>
                          </a:stretch>
                        </pic:blipFill>
                        <pic:spPr bwMode="auto">
                          <a:xfrm>
                            <a:off x="0" y="0"/>
                            <a:ext cx="5334000" cy="22521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Diagram of SDM data preparation for model fitting.</w:t>
            </w:r>
          </w:p>
          <w:bookmarkEnd w:id="43"/>
        </w:tc>
      </w:tr>
    </w:tbl>
    <w:p>
      <w:pPr>
        <w:numPr>
          <w:ilvl w:val="0"/>
          <w:numId w:val="1006"/>
        </w:numPr>
        <w:pStyle w:val="Compact"/>
      </w:pPr>
      <w:r>
        <w:rPr>
          <w:bCs/>
          <w:b/>
        </w:rPr>
        <w:t xml:space="preserve">obs</w:t>
      </w:r>
      <w:r>
        <w:br/>
      </w:r>
      <w:r>
        <w:t xml:space="preserve">observations: occurrences from OBIS; masked by FAO regions defined by AquaMaps</w:t>
      </w:r>
      <w:r>
        <w:t xml:space="preserve"> </w:t>
      </w:r>
      <w:r>
        <w:t xml:space="preserve">(Skyttner 2020)</w:t>
      </w:r>
    </w:p>
    <w:p>
      <w:pPr>
        <w:numPr>
          <w:ilvl w:val="1"/>
          <w:numId w:val="1007"/>
        </w:numPr>
        <w:pStyle w:val="Compact"/>
      </w:pPr>
      <w:r>
        <w:rPr>
          <w:bCs/>
          <w:b/>
        </w:rPr>
        <w:t xml:space="preserve">presence</w:t>
      </w:r>
      <w:r>
        <w:br/>
      </w:r>
      <w:r>
        <w:t xml:space="preserve">OBIS: species occurrence</w:t>
      </w:r>
    </w:p>
    <w:p>
      <w:pPr>
        <w:numPr>
          <w:ilvl w:val="1"/>
          <w:numId w:val="1007"/>
        </w:numPr>
        <w:pStyle w:val="Compact"/>
      </w:pPr>
      <w:r>
        <w:rPr>
          <w:bCs/>
          <w:b/>
        </w:rPr>
        <w:t xml:space="preserve">absence</w:t>
      </w:r>
      <w:r>
        <w:br/>
      </w:r>
      <w:r>
        <w:t xml:space="preserve">OBIS not-species, but same family</w:t>
      </w:r>
    </w:p>
    <w:p>
      <w:pPr>
        <w:numPr>
          <w:ilvl w:val="0"/>
          <w:numId w:val="1006"/>
        </w:numPr>
        <w:pStyle w:val="Compact"/>
      </w:pPr>
      <w:r>
        <w:rPr>
          <w:bCs/>
          <w:b/>
        </w:rPr>
        <w:t xml:space="preserve">env</w:t>
      </w:r>
      <w:r>
        <w:br/>
      </w:r>
      <w:r>
        <w:t xml:space="preserve">environment</w:t>
      </w:r>
    </w:p>
    <w:p>
      <w:pPr>
        <w:numPr>
          <w:ilvl w:val="0"/>
          <w:numId w:val="1006"/>
        </w:numPr>
        <w:pStyle w:val="Compact"/>
      </w:pPr>
      <w:r>
        <w:rPr>
          <w:bCs/>
          <w:b/>
        </w:rPr>
        <w:t xml:space="preserve">tbl</w:t>
      </w:r>
      <w:r>
        <w:br/>
      </w:r>
      <w:r>
        <w:t xml:space="preserve">table of observations (presence and absence) with environmental values</w:t>
      </w:r>
    </w:p>
    <w:bookmarkStart w:id="47" w:name="environmental-predictors"/>
    <w:p>
      <w:pPr>
        <w:pStyle w:val="Heading2"/>
      </w:pPr>
      <w:r>
        <w:t xml:space="preserve">2.1 Environmental Predictors</w:t>
      </w:r>
    </w:p>
    <w:bookmarkStart w:id="44" w:name="physiographic"/>
    <w:p>
      <w:pPr>
        <w:pStyle w:val="Heading3"/>
      </w:pPr>
      <w:r>
        <w:t xml:space="preserve">2.1.1 Physiographic</w:t>
      </w:r>
    </w:p>
    <w:p>
      <w:pPr>
        <w:numPr>
          <w:ilvl w:val="0"/>
          <w:numId w:val="1008"/>
        </w:numPr>
      </w:pPr>
      <w:r>
        <w:rPr>
          <w:rStyle w:val="VerbatimChar"/>
        </w:rPr>
        <w:t xml:space="preserve">depth</w:t>
      </w:r>
      <w:r>
        <w:br/>
      </w:r>
      <w:r>
        <w:t xml:space="preserve">Bathymetric Depth</w:t>
      </w:r>
    </w:p>
    <w:p>
      <w:pPr>
        <w:numPr>
          <w:ilvl w:val="0"/>
          <w:numId w:val="1008"/>
        </w:numPr>
      </w:pPr>
      <w:r>
        <w:rPr>
          <w:rStyle w:val="VerbatimChar"/>
        </w:rPr>
        <w:t xml:space="preserve">d2coast</w:t>
      </w:r>
      <w:r>
        <w:br/>
      </w:r>
      <w:r>
        <w:t xml:space="preserve">Distance to Coast</w:t>
      </w:r>
    </w:p>
    <w:p>
      <w:pPr>
        <w:numPr>
          <w:ilvl w:val="0"/>
          <w:numId w:val="1008"/>
        </w:numPr>
      </w:pPr>
      <w:r>
        <w:rPr>
          <w:rStyle w:val="VerbatimChar"/>
        </w:rPr>
        <w:t xml:space="preserve">d2shelf</w:t>
      </w:r>
      <w:r>
        <w:br/>
      </w:r>
      <w:r>
        <w:t xml:space="preserve">Distance to Shelf</w:t>
      </w:r>
    </w:p>
    <w:bookmarkEnd w:id="44"/>
    <w:bookmarkStart w:id="45" w:name="time-varying"/>
    <w:p>
      <w:pPr>
        <w:pStyle w:val="Heading3"/>
      </w:pPr>
      <w:r>
        <w:t xml:space="preserve">2.1.2 Time Varying</w:t>
      </w:r>
    </w:p>
    <w:p>
      <w:pPr>
        <w:numPr>
          <w:ilvl w:val="0"/>
          <w:numId w:val="1009"/>
        </w:numPr>
        <w:pStyle w:val="Compact"/>
      </w:pPr>
      <w:r>
        <w:rPr>
          <w:rStyle w:val="VerbatimChar"/>
        </w:rPr>
        <w:t xml:space="preserve">vgpm</w:t>
      </w:r>
      <w:r>
        <w:br/>
      </w:r>
      <w:r>
        <w:t xml:space="preserve">Vertically integrated primary Productivity model</w:t>
      </w:r>
    </w:p>
    <w:bookmarkEnd w:id="45"/>
    <w:bookmarkStart w:id="46" w:name="depth-time-varying"/>
    <w:p>
      <w:pPr>
        <w:pStyle w:val="Heading3"/>
      </w:pPr>
      <w:r>
        <w:t xml:space="preserve">2.1.3 Depth &amp; Time Varying</w:t>
      </w:r>
    </w:p>
    <w:p>
      <w:pPr>
        <w:numPr>
          <w:ilvl w:val="0"/>
          <w:numId w:val="1010"/>
        </w:numPr>
      </w:pPr>
      <w:r>
        <w:rPr>
          <w:rStyle w:val="VerbatimChar"/>
        </w:rPr>
        <w:t xml:space="preserve">temp</w:t>
      </w:r>
      <w:r>
        <w:br/>
      </w:r>
      <w:r>
        <w:t xml:space="preserve">Temperature, either sea-surface temperature (SST) or some modeled product from HyCOM, ROMS or Copernicus</w:t>
      </w:r>
    </w:p>
    <w:p>
      <w:pPr>
        <w:numPr>
          <w:ilvl w:val="0"/>
          <w:numId w:val="1010"/>
        </w:numPr>
      </w:pPr>
      <w:r>
        <w:rPr>
          <w:rStyle w:val="VerbatimChar"/>
        </w:rPr>
        <w:t xml:space="preserve">salin</w:t>
      </w:r>
      <w:r>
        <w:br/>
      </w:r>
      <w:r>
        <w:t xml:space="preserve">Salinity</w:t>
      </w:r>
    </w:p>
    <w:bookmarkEnd w:id="46"/>
    <w:bookmarkEnd w:id="47"/>
    <w:bookmarkEnd w:id="48"/>
    <w:bookmarkStart w:id="53" w:name="model"/>
    <w:p>
      <w:pPr>
        <w:pStyle w:val="Heading1"/>
      </w:pPr>
      <w:r>
        <w:t xml:space="preserve">3. Model</w:t>
      </w:r>
    </w:p>
    <w:tbl>
      <w:tblPr>
        <w:tblStyle w:val="Table"/>
        <w:tblW w:type="pct" w:w="5000"/>
        <w:tblLook w:firstRow="0" w:lastRow="0" w:firstColumn="0" w:lastColumn="0" w:noHBand="0" w:noVBand="0" w:val="0000"/>
        <w:jc w:val="start"/>
      </w:tblPr>
      <w:tblGrid>
        <w:gridCol w:w="7920"/>
      </w:tblGrid>
      <w:tr>
        <w:tc>
          <w:tcPr/>
          <w:bookmarkStart w:id="52" w:name="fig-model"/>
          <w:p>
            <w:pPr>
              <w:jc w:val="center"/>
            </w:pPr>
            <w:r>
              <w:drawing>
                <wp:inline>
                  <wp:extent cx="5334000" cy="1553307"/>
                  <wp:effectExtent b="0" l="0" r="0" t="0"/>
                  <wp:docPr descr="" title="" id="50" name="Picture"/>
                  <a:graphic>
                    <a:graphicData uri="http://schemas.openxmlformats.org/drawingml/2006/picture">
                      <pic:pic>
                        <pic:nvPicPr>
                          <pic:cNvPr descr="model_files/figure-docx/mermaid-figure-1.png" id="51" name="Picture"/>
                          <pic:cNvPicPr>
                            <a:picLocks noChangeArrowheads="1" noChangeAspect="1"/>
                          </pic:cNvPicPr>
                        </pic:nvPicPr>
                        <pic:blipFill>
                          <a:blip r:embed="rId49"/>
                          <a:stretch>
                            <a:fillRect/>
                          </a:stretch>
                        </pic:blipFill>
                        <pic:spPr bwMode="auto">
                          <a:xfrm>
                            <a:off x="0" y="0"/>
                            <a:ext cx="5334000" cy="155330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Diagram of SDM Modeling processes.</w:t>
            </w:r>
          </w:p>
          <w:bookmarkEnd w:id="52"/>
        </w:tc>
      </w:tr>
    </w:tbl>
    <w:bookmarkEnd w:id="53"/>
    <w:bookmarkStart w:id="58" w:name="ensemble"/>
    <w:p>
      <w:pPr>
        <w:pStyle w:val="Heading1"/>
      </w:pPr>
      <w:r>
        <w:t xml:space="preserve">4. Ensemble</w:t>
      </w:r>
    </w:p>
    <w:p>
      <w:pPr>
        <w:numPr>
          <w:ilvl w:val="0"/>
          <w:numId w:val="1011"/>
        </w:numPr>
        <w:pStyle w:val="Compact"/>
      </w:pPr>
      <w:hyperlink r:id="rId54">
        <w:r>
          <w:rPr>
            <w:rStyle w:val="VerbatimChar"/>
          </w:rPr>
          <w:t xml:space="preserve">biomod2</w:t>
        </w:r>
      </w:hyperlink>
      <w:r>
        <w:br/>
      </w:r>
      <w:r>
        <w:rPr>
          <w:iCs/>
          <w:i/>
        </w:rPr>
        <w:t xml:space="preserve">Species distribution modeling, calibration and evaluation, ensemble modeling</w:t>
      </w:r>
      <w:r>
        <w:br/>
      </w:r>
      <w:r>
        <w:drawing>
          <wp:inline>
            <wp:extent cx="5334000" cy="2075693"/>
            <wp:effectExtent b="0" l="0" r="0" t="0"/>
            <wp:docPr descr="Graphical overview of `biomod2` functions for data formatting, single SDMs, ensemble methods and visualization. Source: [`biomod2`](https://biomodhub.github.io/biomod2/)" title="" id="56" name="Picture"/>
            <a:graphic>
              <a:graphicData uri="http://schemas.openxmlformats.org/drawingml/2006/picture">
                <pic:pic>
                  <pic:nvPicPr>
                    <pic:cNvPr descr="https://biomodhub.github.io/biomod2/articles/pictures/SCHEMA_BIOMOD2_WORKFLOW_functions.png" id="57" name="Picture"/>
                    <pic:cNvPicPr>
                      <a:picLocks noChangeArrowheads="1" noChangeAspect="1"/>
                    </pic:cNvPicPr>
                  </pic:nvPicPr>
                  <pic:blipFill>
                    <a:blip r:embed="rId55"/>
                    <a:stretch>
                      <a:fillRect/>
                    </a:stretch>
                  </pic:blipFill>
                  <pic:spPr bwMode="auto">
                    <a:xfrm>
                      <a:off x="0" y="0"/>
                      <a:ext cx="5334000" cy="2075693"/>
                    </a:xfrm>
                    <a:prstGeom prst="rect">
                      <a:avLst/>
                    </a:prstGeom>
                    <a:noFill/>
                    <a:ln w="9525">
                      <a:noFill/>
                      <a:headEnd/>
                      <a:tailEnd/>
                    </a:ln>
                  </pic:spPr>
                </pic:pic>
              </a:graphicData>
            </a:graphic>
          </wp:inline>
        </w:drawing>
      </w:r>
    </w:p>
    <w:bookmarkEnd w:id="58"/>
    <w:bookmarkStart w:id="63" w:name="mosaic"/>
    <w:p>
      <w:pPr>
        <w:pStyle w:val="Heading1"/>
      </w:pPr>
      <w:r>
        <w:t xml:space="preserve">5. Mosaic</w:t>
      </w:r>
    </w:p>
    <w:tbl>
      <w:tblPr>
        <w:tblStyle w:val="Table"/>
        <w:tblW w:type="pct" w:w="5000"/>
        <w:tblLook w:firstRow="0" w:lastRow="0" w:firstColumn="0" w:lastColumn="0" w:noHBand="0" w:noVBand="0" w:val="0000"/>
        <w:jc w:val="start"/>
      </w:tblPr>
      <w:tblGrid>
        <w:gridCol w:w="7920"/>
      </w:tblGrid>
      <w:tr>
        <w:tc>
          <w:tcPr/>
          <w:bookmarkStart w:id="62" w:name="fig-sdm-response-hierarchy"/>
          <w:p>
            <w:pPr>
              <w:jc w:val="center"/>
            </w:pPr>
            <w:r>
              <w:drawing>
                <wp:inline>
                  <wp:extent cx="5334000" cy="1180475"/>
                  <wp:effectExtent b="0" l="0" r="0" t="0"/>
                  <wp:docPr descr="" title="" id="60" name="Picture"/>
                  <a:graphic>
                    <a:graphicData uri="http://schemas.openxmlformats.org/drawingml/2006/picture">
                      <pic:pic>
                        <pic:nvPicPr>
                          <pic:cNvPr descr="figures/sdm-response-hiearchy.png" id="61" name="Picture"/>
                          <pic:cNvPicPr>
                            <a:picLocks noChangeArrowheads="1" noChangeAspect="1"/>
                          </pic:cNvPicPr>
                        </pic:nvPicPr>
                        <pic:blipFill>
                          <a:blip r:embed="rId59"/>
                          <a:stretch>
                            <a:fillRect/>
                          </a:stretch>
                        </pic:blipFill>
                        <pic:spPr bwMode="auto">
                          <a:xfrm>
                            <a:off x="0" y="0"/>
                            <a:ext cx="5334000" cy="11804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5.1: Hierarchy of preferred model outputs based on response type and age.</w:t>
            </w:r>
          </w:p>
          <w:bookmarkEnd w:id="62"/>
        </w:tc>
      </w:tr>
    </w:tbl>
    <w:p>
      <w:pPr>
        <w:pStyle w:val="BodyText"/>
      </w:pPr>
      <w:r>
        <w:t xml:space="preserve">This is illustrated well by</w:t>
      </w:r>
      <w:r>
        <w:t xml:space="preserve"> </w:t>
      </w:r>
      <w:hyperlink w:anchor="fig-sdm-response-hierarchy">
        <w:r>
          <w:rPr>
            <w:rStyle w:val="Hyperlink"/>
          </w:rPr>
          <w:t xml:space="preserve">Figure 5.1</w:t>
        </w:r>
      </w:hyperlink>
      <w:r>
        <w:t xml:space="preserve">.</w:t>
      </w:r>
    </w:p>
    <w:bookmarkEnd w:id="63"/>
    <w:bookmarkStart w:id="65" w:name="group-taxa"/>
    <w:p>
      <w:pPr>
        <w:pStyle w:val="Heading1"/>
      </w:pPr>
      <w:r>
        <w:t xml:space="preserve">6. Group Taxa</w:t>
      </w:r>
    </w:p>
    <w:p>
      <w:pPr>
        <w:pStyle w:val="FirstParagraph"/>
      </w:pPr>
      <w:r>
        <w:t xml:space="preserve">Taxonomic groups</w:t>
      </w:r>
      <w:r>
        <w:t xml:space="preserve"> </w:t>
      </w:r>
      <w:r>
        <w:t xml:space="preserve">(Tittensor et al. 2010)</w:t>
      </w:r>
      <w:r>
        <w:t xml:space="preserve"> </w:t>
      </w:r>
      <w:r>
        <w:t xml:space="preserve">in the high seas</w:t>
      </w:r>
      <w:r>
        <w:t xml:space="preserve"> </w:t>
      </w:r>
      <w:r>
        <w:t xml:space="preserve">(Visalli et al. 2020)</w:t>
      </w:r>
      <w:r>
        <w:t xml:space="preserve"> </w:t>
      </w:r>
      <w:r>
        <w:t xml:space="preserve">were packaged with simple query statements in the draft R package</w:t>
      </w:r>
      <w:r>
        <w:t xml:space="preserve"> </w:t>
      </w:r>
      <w:hyperlink r:id="rId64">
        <w:r>
          <w:rPr>
            <w:rStyle w:val="VerbatimChar"/>
          </w:rPr>
          <w:t xml:space="preserve">gmbi</w:t>
        </w:r>
      </w:hyperlink>
      <w:r>
        <w:t xml:space="preserve"> </w:t>
      </w:r>
      <w:r>
        <w:t xml:space="preserve">(global marine biodiversity indicators).</w:t>
      </w:r>
    </w:p>
    <w:bookmarkEnd w:id="65"/>
    <w:bookmarkStart w:id="76" w:name="indicators"/>
    <w:p>
      <w:pPr>
        <w:pStyle w:val="Heading1"/>
      </w:pPr>
      <w:r>
        <w:t xml:space="preserve">7. Indicators</w:t>
      </w:r>
    </w:p>
    <w:bookmarkStart w:id="66" w:name="diversity"/>
    <w:p>
      <w:pPr>
        <w:pStyle w:val="Heading2"/>
      </w:pPr>
      <w:r>
        <w:t xml:space="preserve">7.1 Diversity</w:t>
      </w:r>
    </w:p>
    <w:p>
      <w:pPr>
        <w:pStyle w:val="FirstParagraph"/>
      </w:pPr>
      <w:r>
        <w:t xml:space="preserve">Here are the classic diversity indices from the R package</w:t>
      </w:r>
      <w:r>
        <w:t xml:space="preserve"> </w:t>
      </w:r>
      <w:r>
        <w:rPr>
          <w:rStyle w:val="VerbatimChar"/>
        </w:rPr>
        <w:t xml:space="preserve">vegan</w:t>
      </w:r>
      <w:r>
        <w:t xml:space="preserve">:</w:t>
      </w:r>
    </w:p>
    <w:p>
      <w:pPr>
        <w:pStyle w:val="BodyText"/>
      </w:pPr>
      <m:oMathPara>
        <m:oMathParaPr>
          <m:jc m:val="center"/>
        </m:oMathParaPr>
        <m:oMath>
          <m:m>
            <m:mPr>
              <m:baseJc m:val="center"/>
              <m:plcHide m:val="1"/>
              <m:mcs>
                <m:mc>
                  <m:mcPr>
                    <m:mcJc m:val="right"/>
                    <m:count m:val="1"/>
                  </m:mcPr>
                </m:mc>
                <m:mc>
                  <m:mcPr>
                    <m:mcJc m:val="left"/>
                    <m:count m:val="1"/>
                  </m:mcPr>
                </m:mc>
                <m:mc>
                  <m:mcPr>
                    <m:mcJc m:val="right"/>
                    <m:count m:val="1"/>
                  </m:mcPr>
                </m:mc>
              </m:mcs>
            </m:mPr>
            <m:mr>
              <m:e>
                <m:r>
                  <m:t>H</m:t>
                </m:r>
              </m:e>
              <m:e>
                <m:r>
                  <m:rPr>
                    <m:sty m:val="p"/>
                  </m:rPr>
                  <m:t>=</m:t>
                </m:r>
                <m:r>
                  <m:rPr>
                    <m:sty m:val="p"/>
                  </m:rPr>
                  <m:t>−</m:t>
                </m:r>
                <m:nary>
                  <m:naryPr>
                    <m:chr m:val="∑"/>
                    <m:limLoc m:val="undOvr"/>
                    <m:subHide m:val="0"/>
                    <m:supHide m:val="0"/>
                  </m:naryPr>
                  <m:sub>
                    <m:r>
                      <m:t>i</m:t>
                    </m:r>
                    <m:r>
                      <m:rPr>
                        <m:sty m:val="p"/>
                      </m:rPr>
                      <m:t>=</m:t>
                    </m:r>
                    <m:r>
                      <m:t>1</m:t>
                    </m:r>
                  </m:sub>
                  <m:sup>
                    <m:r>
                      <m:t>S</m:t>
                    </m:r>
                  </m:sup>
                  <m:e>
                    <m:sSub>
                      <m:e>
                        <m:r>
                          <m:t>p</m:t>
                        </m:r>
                      </m:e>
                      <m:sub>
                        <m:r>
                          <m:t>i</m:t>
                        </m:r>
                      </m:sub>
                    </m:sSub>
                  </m:e>
                </m:nary>
                <m:sSub>
                  <m:e>
                    <m:r>
                      <m:rPr>
                        <m:sty m:val="p"/>
                      </m:rPr>
                      <m:t>log</m:t>
                    </m:r>
                  </m:e>
                  <m:sub>
                    <m:r>
                      <m:t>b</m:t>
                    </m:r>
                  </m:sub>
                </m:sSub>
                <m:sSub>
                  <m:e>
                    <m:r>
                      <m:t>p</m:t>
                    </m:r>
                  </m:e>
                  <m:sub>
                    <m:r>
                      <m:t>i</m:t>
                    </m:r>
                  </m:sub>
                </m:sSub>
              </m:e>
              <m:e>
                <m:r>
                  <m:rPr>
                    <m:nor/>
                    <m:sty m:val="p"/>
                  </m:rPr>
                  <m:t>Shannon-Weaver</m:t>
                </m:r>
              </m:e>
            </m:mr>
            <m:mr>
              <m:e>
                <m:sSub>
                  <m:e>
                    <m:r>
                      <m:t>D</m:t>
                    </m:r>
                  </m:e>
                  <m:sub>
                    <m:r>
                      <m:t>1</m:t>
                    </m:r>
                  </m:sub>
                </m:sSub>
              </m:e>
              <m:e>
                <m:r>
                  <m:rPr>
                    <m:sty m:val="p"/>
                  </m:rPr>
                  <m:t>=</m:t>
                </m:r>
                <m:r>
                  <m:t>1</m:t>
                </m:r>
                <m:r>
                  <m:rPr>
                    <m:sty m:val="p"/>
                  </m:rPr>
                  <m:t>−</m:t>
                </m:r>
                <m:nary>
                  <m:naryPr>
                    <m:chr m:val="∑"/>
                    <m:limLoc m:val="undOvr"/>
                    <m:subHide m:val="0"/>
                    <m:supHide m:val="0"/>
                  </m:naryPr>
                  <m:sub>
                    <m:r>
                      <m:t>i</m:t>
                    </m:r>
                    <m:r>
                      <m:rPr>
                        <m:sty m:val="p"/>
                      </m:rPr>
                      <m:t>=</m:t>
                    </m:r>
                    <m:r>
                      <m:t>1</m:t>
                    </m:r>
                  </m:sub>
                  <m:sup>
                    <m:r>
                      <m:t>S</m:t>
                    </m:r>
                  </m:sup>
                  <m:e>
                    <m:sSubSup>
                      <m:e>
                        <m:r>
                          <m:t>p</m:t>
                        </m:r>
                      </m:e>
                      <m:sub>
                        <m:r>
                          <m:t>i</m:t>
                        </m:r>
                      </m:sub>
                      <m:sup>
                        <m:r>
                          <m:t>2</m:t>
                        </m:r>
                      </m:sup>
                    </m:sSubSup>
                  </m:e>
                </m:nary>
              </m:e>
              <m:e>
                <m:r>
                  <m:rPr>
                    <m:nor/>
                    <m:sty m:val="p"/>
                  </m:rPr>
                  <m:t>Simpson</m:t>
                </m:r>
              </m:e>
            </m:mr>
            <m:mr>
              <m:e>
                <m:sSub>
                  <m:e>
                    <m:r>
                      <m:t>D</m:t>
                    </m:r>
                  </m:e>
                  <m:sub>
                    <m:r>
                      <m:t>2</m:t>
                    </m:r>
                  </m:sub>
                </m:sSub>
              </m:e>
              <m:e>
                <m:r>
                  <m:rPr>
                    <m:sty m:val="p"/>
                  </m:rPr>
                  <m:t>=</m:t>
                </m:r>
                <m:f>
                  <m:fPr>
                    <m:type m:val="bar"/>
                  </m:fPr>
                  <m:num>
                    <m:r>
                      <m:t>1</m:t>
                    </m:r>
                  </m:num>
                  <m:den>
                    <m:nary>
                      <m:naryPr>
                        <m:chr m:val="∑"/>
                        <m:limLoc m:val="undOvr"/>
                        <m:subHide m:val="0"/>
                        <m:supHide m:val="0"/>
                      </m:naryPr>
                      <m:sub>
                        <m:r>
                          <m:t>i</m:t>
                        </m:r>
                        <m:r>
                          <m:rPr>
                            <m:sty m:val="p"/>
                          </m:rPr>
                          <m:t>=</m:t>
                        </m:r>
                        <m:r>
                          <m:t>1</m:t>
                        </m:r>
                      </m:sub>
                      <m:sup>
                        <m:r>
                          <m:t>S</m:t>
                        </m:r>
                      </m:sup>
                      <m:e>
                        <m:sSubSup>
                          <m:e>
                            <m:r>
                              <m:t>p</m:t>
                            </m:r>
                          </m:e>
                          <m:sub>
                            <m:r>
                              <m:t>i</m:t>
                            </m:r>
                          </m:sub>
                          <m:sup>
                            <m:r>
                              <m:t>2</m:t>
                            </m:r>
                          </m:sup>
                        </m:sSubSup>
                      </m:e>
                    </m:nary>
                  </m:den>
                </m:f>
              </m:e>
              <m:e>
                <m:r>
                  <m:rPr>
                    <m:nor/>
                    <m:sty m:val="p"/>
                  </m:rPr>
                  <m:t>inverse Simpson</m:t>
                </m:r>
              </m:e>
            </m:mr>
          </m:m>
        </m:oMath>
      </m:oMathPara>
    </w:p>
    <w:bookmarkEnd w:id="66"/>
    <w:bookmarkStart w:id="67" w:name="endemism"/>
    <w:p>
      <w:pPr>
        <w:pStyle w:val="Heading2"/>
      </w:pPr>
      <w:r>
        <w:t xml:space="preserve">7.2 Endemism</w:t>
      </w:r>
    </w:p>
    <w:p>
      <w:pPr>
        <w:pStyle w:val="FirstParagraph"/>
      </w:pPr>
      <w:r>
        <w:t xml:space="preserve">Endemism could be measured as a function of the presence or average of the species range, given by either a global SDM converted to a binary range or using the existing IUCN range maps.</w:t>
      </w:r>
    </w:p>
    <w:bookmarkEnd w:id="67"/>
    <w:bookmarkStart w:id="69" w:name="extinction-risk"/>
    <w:p>
      <w:pPr>
        <w:pStyle w:val="Heading2"/>
      </w:pPr>
      <w:r>
        <w:t xml:space="preserve">7.3 Extinction Risk</w:t>
      </w:r>
    </w:p>
    <w:p>
      <w:pPr>
        <w:pStyle w:val="FirstParagraph"/>
      </w:pPr>
      <w:r>
        <w:t xml:space="preserve">This is provided by IUCN RedList, as well as sometimes at a national level, such as NatureServe’s</w:t>
      </w:r>
      <w:r>
        <w:t xml:space="preserve"> </w:t>
      </w:r>
      <w:hyperlink r:id="rId68">
        <w:r>
          <w:rPr>
            <w:rStyle w:val="Hyperlink"/>
          </w:rPr>
          <w:t xml:space="preserve">Conservation Status Ranks</w:t>
        </w:r>
      </w:hyperlink>
      <w:r>
        <w:t xml:space="preserve"> </w:t>
      </w:r>
      <w:r>
        <w:t xml:space="preserve">for the U.S.</w:t>
      </w:r>
    </w:p>
    <w:bookmarkEnd w:id="69"/>
    <w:bookmarkStart w:id="70" w:name="functional-importance"/>
    <w:p>
      <w:pPr>
        <w:pStyle w:val="Heading2"/>
      </w:pPr>
      <w:r>
        <w:t xml:space="preserve">7.4 Functional Importance</w:t>
      </w:r>
    </w:p>
    <w:bookmarkEnd w:id="70"/>
    <w:bookmarkStart w:id="71" w:name="habitat-forming"/>
    <w:p>
      <w:pPr>
        <w:pStyle w:val="Heading2"/>
      </w:pPr>
      <w:r>
        <w:t xml:space="preserve">7.5 Habitat Forming</w:t>
      </w:r>
    </w:p>
    <w:p>
      <w:pPr>
        <w:pStyle w:val="FirstParagraph"/>
      </w:pPr>
      <w:r>
        <w:t xml:space="preserve">Habitat forming species, such as coral, mangrove, seagrasses and kelp are especially important for biodiversity and ecosystem services.</w:t>
      </w:r>
    </w:p>
    <w:bookmarkEnd w:id="71"/>
    <w:bookmarkStart w:id="72" w:name="phylogenetic-uniqueness"/>
    <w:p>
      <w:pPr>
        <w:pStyle w:val="Heading2"/>
      </w:pPr>
      <w:r>
        <w:t xml:space="preserve">7.6 Phylogenetic Uniqueness</w:t>
      </w:r>
    </w:p>
    <w:bookmarkEnd w:id="72"/>
    <w:bookmarkStart w:id="73" w:name="richness"/>
    <w:p>
      <w:pPr>
        <w:pStyle w:val="Heading2"/>
      </w:pPr>
      <w:r>
        <w:t xml:space="preserve">7.7 Richness</w:t>
      </w:r>
    </w:p>
    <w:bookmarkEnd w:id="73"/>
    <w:bookmarkStart w:id="74" w:name="sensitivity"/>
    <w:p>
      <w:pPr>
        <w:pStyle w:val="Heading2"/>
      </w:pPr>
      <w:r>
        <w:t xml:space="preserve">7.8 Sensitivity</w:t>
      </w:r>
    </w:p>
    <w:p>
      <w:pPr>
        <w:pStyle w:val="FirstParagraph"/>
      </w:pPr>
      <w:r>
        <w:t xml:space="preserve">Sensitivity to specific human activities, such as shipping or fishing. Some activities may have different stages of development, such as construction versus operation of offshore wind energy.</w:t>
      </w:r>
    </w:p>
    <w:bookmarkEnd w:id="74"/>
    <w:bookmarkStart w:id="75" w:name="trophic-index"/>
    <w:p>
      <w:pPr>
        <w:pStyle w:val="Heading2"/>
      </w:pPr>
      <w:r>
        <w:t xml:space="preserve">7.9 Trophic Index</w:t>
      </w:r>
    </w:p>
    <w:bookmarkEnd w:id="75"/>
    <w:bookmarkEnd w:id="76"/>
    <w:bookmarkStart w:id="91" w:name="software"/>
    <w:p>
      <w:pPr>
        <w:pStyle w:val="Heading1"/>
      </w:pPr>
      <w:r>
        <w:t xml:space="preserve">8. Software</w:t>
      </w:r>
    </w:p>
    <w:bookmarkStart w:id="85" w:name="r"/>
    <w:p>
      <w:pPr>
        <w:pStyle w:val="Heading2"/>
      </w:pPr>
      <w:r>
        <w:t xml:space="preserve">8.1 R</w:t>
      </w:r>
    </w:p>
    <w:p>
      <w:pPr>
        <w:pStyle w:val="FirstParagraph"/>
      </w:pPr>
      <w:r>
        <w:t xml:space="preserve">Most packages have not yet migrated from using the deprecated</w:t>
      </w:r>
      <w:r>
        <w:t xml:space="preserve"> </w:t>
      </w:r>
      <w:r>
        <w:rPr>
          <w:rStyle w:val="VerbatimChar"/>
        </w:rPr>
        <w:t xml:space="preserve">raster</w:t>
      </w:r>
      <w:r>
        <w:t xml:space="preserve"> </w:t>
      </w:r>
      <w:r>
        <w:t xml:space="preserve">R package to the new</w:t>
      </w:r>
      <w:r>
        <w:t xml:space="preserve"> </w:t>
      </w:r>
      <w:r>
        <w:rPr>
          <w:rStyle w:val="VerbatimChar"/>
        </w:rPr>
        <w:t xml:space="preserve">terra</w:t>
      </w:r>
      <w:r>
        <w:t xml:space="preserve"> </w:t>
      </w:r>
      <w:r>
        <w:t xml:space="preserve">package, except for</w:t>
      </w:r>
      <w:r>
        <w:t xml:space="preserve"> </w:t>
      </w:r>
      <w:hyperlink r:id="rId54">
        <w:r>
          <w:rPr>
            <w:rStyle w:val="VerbatimChar"/>
          </w:rPr>
          <w:t xml:space="preserve">biomod2</w:t>
        </w:r>
      </w:hyperlink>
      <w:r>
        <w:t xml:space="preserve"> </w:t>
      </w:r>
      <w:r>
        <w:t xml:space="preserve">(ref?).</w:t>
      </w:r>
    </w:p>
    <w:p>
      <w:pPr>
        <w:numPr>
          <w:ilvl w:val="0"/>
          <w:numId w:val="1012"/>
        </w:numPr>
      </w:pPr>
      <w:hyperlink r:id="rId54">
        <w:r>
          <w:rPr>
            <w:rStyle w:val="VerbatimChar"/>
          </w:rPr>
          <w:t xml:space="preserve">biomod2</w:t>
        </w:r>
      </w:hyperlink>
      <w:r>
        <w:br/>
      </w:r>
      <w:r>
        <w:rPr>
          <w:iCs/>
          <w:i/>
        </w:rPr>
        <w:t xml:space="preserve">Species distribution modeling, calibration and evaluation, ensemble modeling</w:t>
      </w:r>
      <w:r>
        <w:br/>
      </w:r>
      <w:r>
        <w:drawing>
          <wp:inline>
            <wp:extent cx="5334000" cy="2075693"/>
            <wp:effectExtent b="0" l="0" r="0" t="0"/>
            <wp:docPr descr="Graphical overview of `biomod2` functions for data formatting, single SDMs, ensemble methods and visualization. Source: [`biomod2`](https://biomodhub.github.io/biomod2/)" title="" id="77" name="Picture"/>
            <a:graphic>
              <a:graphicData uri="http://schemas.openxmlformats.org/drawingml/2006/picture">
                <pic:pic>
                  <pic:nvPicPr>
                    <pic:cNvPr descr="https://biomodhub.github.io/biomod2/articles/pictures/SCHEMA_BIOMOD2_WORKFLOW_functions.png" id="78" name="Picture"/>
                    <pic:cNvPicPr>
                      <a:picLocks noChangeArrowheads="1" noChangeAspect="1"/>
                    </pic:cNvPicPr>
                  </pic:nvPicPr>
                  <pic:blipFill>
                    <a:blip r:embed="rId55"/>
                    <a:stretch>
                      <a:fillRect/>
                    </a:stretch>
                  </pic:blipFill>
                  <pic:spPr bwMode="auto">
                    <a:xfrm>
                      <a:off x="0" y="0"/>
                      <a:ext cx="5334000" cy="2075693"/>
                    </a:xfrm>
                    <a:prstGeom prst="rect">
                      <a:avLst/>
                    </a:prstGeom>
                    <a:noFill/>
                    <a:ln w="9525">
                      <a:noFill/>
                      <a:headEnd/>
                      <a:tailEnd/>
                    </a:ln>
                  </pic:spPr>
                </pic:pic>
              </a:graphicData>
            </a:graphic>
          </wp:inline>
        </w:drawing>
      </w:r>
    </w:p>
    <w:p>
      <w:pPr>
        <w:numPr>
          <w:ilvl w:val="0"/>
          <w:numId w:val="1012"/>
        </w:numPr>
      </w:pPr>
      <w:hyperlink r:id="rId79">
        <w:r>
          <w:rPr>
            <w:rStyle w:val="VerbatimChar"/>
          </w:rPr>
          <w:t xml:space="preserve">eks</w:t>
        </w:r>
      </w:hyperlink>
      <w:r>
        <w:br/>
      </w:r>
      <w:r>
        <w:rPr>
          <w:iCs/>
          <w:i/>
        </w:rPr>
        <w:t xml:space="preserve">Tidy and Geospatial Kernel Smoothing for spatially filtering outlier observations</w:t>
      </w:r>
    </w:p>
    <w:tbl>
      <w:tblPr>
        <w:tblStyle w:val="Table"/>
        <w:tblW w:type="pct" w:w="5000"/>
        <w:tblLook w:firstRow="0" w:lastRow="0" w:firstColumn="0" w:lastColumn="0" w:noHBand="0" w:noVBand="0" w:val="0000"/>
        <w:jc w:val="start"/>
        <w:tblInd w:w="720" w:type="dxa"/>
      </w:tblPr>
      <w:tblGrid>
        <w:gridCol w:w="7920"/>
      </w:tblGrid>
      <w:tr>
        <w:tc>
          <w:tcPr/>
          <w:bookmarkStart w:id="83" w:name="fig-eks"/>
          <w:p>
            <w:pPr>
              <w:jc w:val="center"/>
            </w:pPr>
            <w:r>
              <w:drawing>
                <wp:inline>
                  <wp:extent cx="4620126" cy="4620126"/>
                  <wp:effectExtent b="0" l="0" r="0" t="0"/>
                  <wp:docPr descr="" title="" id="81" name="Picture"/>
                  <a:graphic>
                    <a:graphicData uri="http://schemas.openxmlformats.org/drawingml/2006/picture">
                      <pic:pic>
                        <pic:nvPicPr>
                          <pic:cNvPr descr="figures/software/eks.png" id="82" name="Picture"/>
                          <pic:cNvPicPr>
                            <a:picLocks noChangeArrowheads="1" noChangeAspect="1"/>
                          </pic:cNvPicPr>
                        </pic:nvPicPr>
                        <pic:blipFill>
                          <a:blip r:embed="rId80"/>
                          <a:stretch>
                            <a:fillRect/>
                          </a:stretch>
                        </pic:blipFill>
                        <pic:spPr bwMode="auto">
                          <a:xfrm>
                            <a:off x="0" y="0"/>
                            <a:ext cx="4620126" cy="4620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8.1: Source:</w:t>
            </w:r>
            <w:r>
              <w:t xml:space="preserve"> </w:t>
            </w:r>
            <w:hyperlink r:id="rId79">
              <w:r>
                <w:rPr>
                  <w:rStyle w:val="Hyperlink"/>
                </w:rPr>
                <w:t xml:space="preserve">Kernel density estimates for tidy and geospatial data in the eks package</w:t>
              </w:r>
            </w:hyperlink>
          </w:p>
          <w:bookmarkEnd w:id="83"/>
        </w:tc>
      </w:tr>
    </w:tbl>
    <w:p>
      <w:pPr>
        <w:numPr>
          <w:ilvl w:val="0"/>
          <w:numId w:val="1012"/>
        </w:numPr>
      </w:pPr>
      <w:hyperlink r:id="rId84">
        <w:r>
          <w:rPr>
            <w:rStyle w:val="VerbatimChar"/>
          </w:rPr>
          <w:t xml:space="preserve">predicts</w:t>
        </w:r>
      </w:hyperlink>
      <w:r>
        <w:br/>
      </w:r>
      <w:r>
        <w:rPr>
          <w:iCs/>
          <w:i/>
        </w:rPr>
        <w:t xml:space="preserve">New R library using terra for predicting from fitted model</w:t>
      </w:r>
    </w:p>
    <w:bookmarkEnd w:id="85"/>
    <w:bookmarkStart w:id="87" w:name="python"/>
    <w:p>
      <w:pPr>
        <w:pStyle w:val="Heading2"/>
      </w:pPr>
      <w:r>
        <w:t xml:space="preserve">8.2 Python</w:t>
      </w:r>
    </w:p>
    <w:p>
      <w:pPr>
        <w:numPr>
          <w:ilvl w:val="0"/>
          <w:numId w:val="1013"/>
        </w:numPr>
        <w:pStyle w:val="Compact"/>
      </w:pPr>
      <w:hyperlink r:id="rId86">
        <w:r>
          <w:rPr>
            <w:rStyle w:val="Hyperlink"/>
          </w:rPr>
          <w:t xml:space="preserve">Xarray</w:t>
        </w:r>
      </w:hyperlink>
      <w:r>
        <w:br/>
      </w:r>
      <w:r>
        <w:t xml:space="preserve">Xarray makes working with labelled multi-dimensional arrays in Python simple, efficient, and fun!</w:t>
      </w:r>
    </w:p>
    <w:bookmarkEnd w:id="87"/>
    <w:bookmarkStart w:id="90" w:name="google-earth-engine"/>
    <w:p>
      <w:pPr>
        <w:pStyle w:val="Heading2"/>
      </w:pPr>
      <w:r>
        <w:t xml:space="preserve">8.3 Google Earth Engine</w:t>
      </w:r>
    </w:p>
    <w:p>
      <w:pPr>
        <w:numPr>
          <w:ilvl w:val="0"/>
          <w:numId w:val="1014"/>
        </w:numPr>
        <w:pStyle w:val="Compact"/>
      </w:pPr>
      <w:hyperlink r:id="rId88">
        <w:r>
          <w:rPr>
            <w:rStyle w:val="Hyperlink"/>
          </w:rPr>
          <w:t xml:space="preserve">XEE</w:t>
        </w:r>
      </w:hyperlink>
      <w:r>
        <w:br/>
      </w:r>
      <w:r>
        <w:t xml:space="preserve">XEE is a new Python package for Earth Engine that provides a set of functions to facilitate the use of Earth Engine API. It is designed to be used in Jupyter notebooks and Google Colab.</w:t>
      </w:r>
      <w:r>
        <w:t xml:space="preserve"> </w:t>
      </w:r>
      <w:hyperlink r:id="rId89">
        <w:r>
          <w:rPr>
            <w:rStyle w:val="Hyperlink"/>
          </w:rPr>
          <w:t xml:space="preserve">Documentation</w:t>
        </w:r>
      </w:hyperlink>
    </w:p>
    <w:bookmarkEnd w:id="90"/>
    <w:bookmarkEnd w:id="91"/>
    <w:bookmarkStart w:id="105" w:name="organize"/>
    <w:p>
      <w:pPr>
        <w:pStyle w:val="Heading1"/>
      </w:pPr>
      <w:r>
        <w:t xml:space="preserve">9. Organize</w:t>
      </w:r>
    </w:p>
    <w:bookmarkStart w:id="99" w:name="partners"/>
    <w:p>
      <w:pPr>
        <w:pStyle w:val="Heading2"/>
      </w:pPr>
      <w:r>
        <w:t xml:space="preserve">9.1 Partners</w:t>
      </w:r>
    </w:p>
    <w:p>
      <w:pPr>
        <w:numPr>
          <w:ilvl w:val="0"/>
          <w:numId w:val="1015"/>
        </w:numPr>
      </w:pPr>
      <w:r>
        <w:rPr>
          <w:iCs/>
          <w:i/>
          <w:bCs/>
          <w:b/>
        </w:rPr>
        <w:t xml:space="preserve">Confirmed</w:t>
      </w:r>
    </w:p>
    <w:p>
      <w:pPr>
        <w:numPr>
          <w:ilvl w:val="1"/>
          <w:numId w:val="1016"/>
        </w:numPr>
      </w:pPr>
      <w:hyperlink r:id="rId92">
        <w:r>
          <w:rPr>
            <w:rStyle w:val="Hyperlink"/>
            <w:bCs/>
            <w:b/>
          </w:rPr>
          <w:t xml:space="preserve">AquaMaps</w:t>
        </w:r>
      </w:hyperlink>
      <w:r>
        <w:br/>
      </w:r>
      <w:r>
        <w:rPr>
          <w:iCs/>
          <w:i/>
        </w:rPr>
        <w:t xml:space="preserve">distribution maps for over 33,500 species of fishes, marine mammals and invertebrates</w:t>
      </w:r>
      <w:r>
        <w:br/>
      </w:r>
      <w:r>
        <w:t xml:space="preserve">contacts:</w:t>
      </w:r>
    </w:p>
    <w:p>
      <w:pPr>
        <w:numPr>
          <w:ilvl w:val="2"/>
          <w:numId w:val="1017"/>
        </w:numPr>
        <w:pStyle w:val="Compact"/>
      </w:pPr>
      <w:r>
        <w:t xml:space="preserve">Gabriel Reygondeau (g.reygondeau@oceans.ubc.ca)</w:t>
      </w:r>
    </w:p>
    <w:p>
      <w:pPr>
        <w:numPr>
          <w:ilvl w:val="1"/>
          <w:numId w:val="1016"/>
        </w:numPr>
      </w:pPr>
      <w:hyperlink r:id="rId93">
        <w:r>
          <w:rPr>
            <w:rStyle w:val="Hyperlink"/>
            <w:bCs/>
            <w:b/>
          </w:rPr>
          <w:t xml:space="preserve">DisMAP</w:t>
        </w:r>
      </w:hyperlink>
      <w:r>
        <w:br/>
      </w:r>
      <w:r>
        <w:rPr>
          <w:iCs/>
          <w:i/>
        </w:rPr>
        <w:t xml:space="preserve">Distribution Mapping and Analysis Portal (NOAA)</w:t>
      </w:r>
      <w:r>
        <w:br/>
      </w:r>
      <w:r>
        <w:t xml:space="preserve">contacts:</w:t>
      </w:r>
    </w:p>
    <w:p>
      <w:pPr>
        <w:numPr>
          <w:ilvl w:val="2"/>
          <w:numId w:val="1018"/>
        </w:numPr>
      </w:pPr>
      <w:r>
        <w:t xml:space="preserve">Melissa Karp (melissa.karp@noaa.gov)</w:t>
      </w:r>
    </w:p>
    <w:p>
      <w:pPr>
        <w:numPr>
          <w:ilvl w:val="2"/>
          <w:numId w:val="1018"/>
        </w:numPr>
      </w:pPr>
      <w:r>
        <w:t xml:space="preserve">Roger Griffis (roger.b.griffis@noaa.gov)</w:t>
      </w:r>
    </w:p>
    <w:p>
      <w:pPr>
        <w:numPr>
          <w:ilvl w:val="1"/>
          <w:numId w:val="1016"/>
        </w:numPr>
      </w:pPr>
      <w:hyperlink r:id="rId94">
        <w:r>
          <w:rPr>
            <w:rStyle w:val="Hyperlink"/>
            <w:bCs/>
            <w:b/>
          </w:rPr>
          <w:t xml:space="preserve">MBON</w:t>
        </w:r>
      </w:hyperlink>
      <w:r>
        <w:br/>
      </w:r>
      <w:r>
        <w:rPr>
          <w:iCs/>
          <w:i/>
        </w:rPr>
        <w:t xml:space="preserve">Marine Biodiversity Observation Network (NOAA, NASA)</w:t>
      </w:r>
      <w:r>
        <w:br/>
      </w:r>
      <w:r>
        <w:t xml:space="preserve">contacts:</w:t>
      </w:r>
    </w:p>
    <w:p>
      <w:pPr>
        <w:numPr>
          <w:ilvl w:val="2"/>
          <w:numId w:val="1019"/>
        </w:numPr>
      </w:pPr>
      <w:r>
        <w:t xml:space="preserve">Ben Best</w:t>
      </w:r>
    </w:p>
    <w:p>
      <w:pPr>
        <w:numPr>
          <w:ilvl w:val="2"/>
          <w:numId w:val="1019"/>
        </w:numPr>
      </w:pPr>
      <w:r>
        <w:t xml:space="preserve">Tylar Murray</w:t>
      </w:r>
    </w:p>
    <w:p>
      <w:pPr>
        <w:numPr>
          <w:ilvl w:val="2"/>
          <w:numId w:val="1019"/>
        </w:numPr>
      </w:pPr>
      <w:r>
        <w:t xml:space="preserve">Dan Otis</w:t>
      </w:r>
    </w:p>
    <w:p>
      <w:pPr>
        <w:numPr>
          <w:ilvl w:val="2"/>
          <w:numId w:val="1019"/>
        </w:numPr>
      </w:pPr>
      <w:r>
        <w:t xml:space="preserve">Frank Muller-Karger</w:t>
      </w:r>
    </w:p>
    <w:p>
      <w:pPr>
        <w:numPr>
          <w:ilvl w:val="1"/>
          <w:numId w:val="1016"/>
        </w:numPr>
      </w:pPr>
      <w:hyperlink r:id="rId95">
        <w:r>
          <w:rPr>
            <w:rStyle w:val="Hyperlink"/>
            <w:bCs/>
            <w:b/>
          </w:rPr>
          <w:t xml:space="preserve">OBIS</w:t>
        </w:r>
      </w:hyperlink>
      <w:r>
        <w:br/>
      </w:r>
      <w:r>
        <w:rPr>
          <w:iCs/>
          <w:i/>
        </w:rPr>
        <w:t xml:space="preserve">Ocean Biodiversity Information System (UNESCO)</w:t>
      </w:r>
      <w:r>
        <w:br/>
      </w:r>
      <w:r>
        <w:t xml:space="preserve">contacts:</w:t>
      </w:r>
    </w:p>
    <w:p>
      <w:pPr>
        <w:numPr>
          <w:ilvl w:val="2"/>
          <w:numId w:val="1020"/>
        </w:numPr>
      </w:pPr>
      <w:r>
        <w:t xml:space="preserve">Candido Principe De Souza, Silas (s.principe@unesco.org)</w:t>
      </w:r>
    </w:p>
    <w:p>
      <w:pPr>
        <w:numPr>
          <w:ilvl w:val="2"/>
          <w:numId w:val="1020"/>
        </w:numPr>
      </w:pPr>
      <w:r>
        <w:t xml:space="preserve">Ward Appeltans (w.appeltans@unesco.org)</w:t>
      </w:r>
    </w:p>
    <w:p>
      <w:pPr>
        <w:numPr>
          <w:ilvl w:val="0"/>
          <w:numId w:val="1015"/>
        </w:numPr>
      </w:pPr>
      <w:r>
        <w:rPr>
          <w:iCs/>
          <w:i/>
          <w:bCs/>
          <w:b/>
        </w:rPr>
        <w:t xml:space="preserve">Proposed</w:t>
      </w:r>
    </w:p>
    <w:p>
      <w:pPr>
        <w:numPr>
          <w:ilvl w:val="1"/>
          <w:numId w:val="1021"/>
        </w:numPr>
      </w:pPr>
      <w:hyperlink r:id="rId96">
        <w:r>
          <w:rPr>
            <w:rStyle w:val="Hyperlink"/>
            <w:bCs/>
            <w:b/>
          </w:rPr>
          <w:t xml:space="preserve">FishGLOB</w:t>
        </w:r>
      </w:hyperlink>
      <w:r>
        <w:br/>
      </w:r>
      <w:r>
        <w:rPr>
          <w:iCs/>
          <w:i/>
        </w:rPr>
        <w:t xml:space="preserve">fish biodiversity under global change (global bottom trawl)</w:t>
      </w:r>
      <w:r>
        <w:br/>
      </w:r>
      <w:r>
        <w:t xml:space="preserve">contacts:</w:t>
      </w:r>
    </w:p>
    <w:p>
      <w:pPr>
        <w:numPr>
          <w:ilvl w:val="2"/>
          <w:numId w:val="1022"/>
        </w:numPr>
        <w:pStyle w:val="Compact"/>
      </w:pPr>
      <w:r>
        <w:t xml:space="preserve">Malin Pinsky</w:t>
      </w:r>
    </w:p>
    <w:p>
      <w:pPr>
        <w:numPr>
          <w:ilvl w:val="1"/>
          <w:numId w:val="1021"/>
        </w:numPr>
      </w:pPr>
      <w:hyperlink r:id="rId97">
        <w:r>
          <w:rPr>
            <w:rStyle w:val="Hyperlink"/>
            <w:bCs/>
            <w:b/>
          </w:rPr>
          <w:t xml:space="preserve">MGEL</w:t>
        </w:r>
      </w:hyperlink>
      <w:r>
        <w:br/>
      </w:r>
      <w:r>
        <w:rPr>
          <w:iCs/>
          <w:i/>
        </w:rPr>
        <w:t xml:space="preserve">Marine Geospatial Ecology Lab, Duke</w:t>
      </w:r>
      <w:r>
        <w:br/>
      </w:r>
      <w:r>
        <w:t xml:space="preserve">contacts:</w:t>
      </w:r>
    </w:p>
    <w:p>
      <w:pPr>
        <w:numPr>
          <w:ilvl w:val="2"/>
          <w:numId w:val="1023"/>
        </w:numPr>
      </w:pPr>
      <w:r>
        <w:t xml:space="preserve">Jason Roberts</w:t>
      </w:r>
    </w:p>
    <w:p>
      <w:pPr>
        <w:numPr>
          <w:ilvl w:val="2"/>
          <w:numId w:val="1023"/>
        </w:numPr>
      </w:pPr>
      <w:r>
        <w:t xml:space="preserve">Patrick Halpin</w:t>
      </w:r>
    </w:p>
    <w:p>
      <w:pPr>
        <w:numPr>
          <w:ilvl w:val="1"/>
          <w:numId w:val="1021"/>
        </w:numPr>
      </w:pPr>
      <w:hyperlink r:id="rId98">
        <w:r>
          <w:rPr>
            <w:rStyle w:val="Hyperlink"/>
            <w:bCs/>
            <w:b/>
          </w:rPr>
          <w:t xml:space="preserve">PMEL</w:t>
        </w:r>
      </w:hyperlink>
      <w:r>
        <w:br/>
      </w:r>
      <w:r>
        <w:rPr>
          <w:iCs/>
          <w:i/>
        </w:rPr>
        <w:t xml:space="preserve">Pacific Marine Environmental Lab, NOAA</w:t>
      </w:r>
      <w:r>
        <w:br/>
      </w:r>
      <w:r>
        <w:t xml:space="preserve">contacts:</w:t>
      </w:r>
    </w:p>
    <w:p>
      <w:pPr>
        <w:numPr>
          <w:ilvl w:val="2"/>
          <w:numId w:val="1024"/>
        </w:numPr>
      </w:pPr>
      <w:r>
        <w:t xml:space="preserve">Heather Welch</w:t>
      </w:r>
    </w:p>
    <w:p>
      <w:pPr>
        <w:numPr>
          <w:ilvl w:val="2"/>
          <w:numId w:val="1024"/>
        </w:numPr>
      </w:pPr>
      <w:r>
        <w:t xml:space="preserve">Elliot Hazen</w:t>
      </w:r>
    </w:p>
    <w:bookmarkEnd w:id="99"/>
    <w:bookmarkStart w:id="101" w:name="portal"/>
    <w:p>
      <w:pPr>
        <w:pStyle w:val="Heading2"/>
      </w:pPr>
      <w:r>
        <w:t xml:space="preserve">9.2 Portal</w:t>
      </w:r>
    </w:p>
    <w:p>
      <w:pPr>
        <w:numPr>
          <w:ilvl w:val="0"/>
          <w:numId w:val="1025"/>
        </w:numPr>
        <w:pStyle w:val="Compact"/>
      </w:pPr>
      <w:r>
        <w:t xml:space="preserve">Candidate website:</w:t>
      </w:r>
      <w:r>
        <w:br/>
      </w:r>
      <w:hyperlink r:id="rId100">
        <w:r>
          <w:rPr>
            <w:rStyle w:val="Hyperlink"/>
          </w:rPr>
          <w:t xml:space="preserve">MarineSpeciesMaps.org</w:t>
        </w:r>
      </w:hyperlink>
      <w:r>
        <w:t xml:space="preserve"> </w:t>
      </w:r>
      <w:r>
        <w:t xml:space="preserve">(BDB registered domain)</w:t>
      </w:r>
    </w:p>
    <w:p>
      <w:pPr>
        <w:numPr>
          <w:ilvl w:val="1"/>
          <w:numId w:val="1026"/>
        </w:numPr>
        <w:pStyle w:val="Compact"/>
      </w:pPr>
      <w:r>
        <w:t xml:space="preserve">similar to:</w:t>
      </w:r>
    </w:p>
    <w:p>
      <w:pPr>
        <w:numPr>
          <w:ilvl w:val="2"/>
          <w:numId w:val="1027"/>
        </w:numPr>
        <w:pStyle w:val="Compact"/>
      </w:pPr>
      <w:r>
        <w:t xml:space="preserve">MarineRegions.org</w:t>
      </w:r>
      <w:r>
        <w:br/>
      </w:r>
      <w:r>
        <w:t xml:space="preserve">spatial authority</w:t>
      </w:r>
    </w:p>
    <w:p>
      <w:pPr>
        <w:numPr>
          <w:ilvl w:val="2"/>
          <w:numId w:val="1027"/>
        </w:numPr>
        <w:pStyle w:val="Compact"/>
      </w:pPr>
      <w:r>
        <w:t xml:space="preserve">MarineSpecies.org</w:t>
      </w:r>
      <w:r>
        <w:br/>
      </w:r>
      <w:r>
        <w:t xml:space="preserve">taxonomic authority</w:t>
      </w:r>
    </w:p>
    <w:bookmarkEnd w:id="101"/>
    <w:bookmarkStart w:id="104" w:name="timeline"/>
    <w:p>
      <w:pPr>
        <w:pStyle w:val="Heading2"/>
      </w:pPr>
      <w:r>
        <w:t xml:space="preserve">9.3 Timeline</w:t>
      </w:r>
    </w:p>
    <w:bookmarkStart w:id="102" w:name="meetings"/>
    <w:p>
      <w:pPr>
        <w:pStyle w:val="Heading3"/>
      </w:pPr>
      <w:r>
        <w:t xml:space="preserve">9.3.1 Meetings</w:t>
      </w:r>
    </w:p>
    <w:p>
      <w:pPr>
        <w:numPr>
          <w:ilvl w:val="0"/>
          <w:numId w:val="1028"/>
        </w:numPr>
      </w:pPr>
      <w:r>
        <w:rPr>
          <w:bCs/>
          <w:b/>
        </w:rPr>
        <w:t xml:space="preserve">2024-01-23</w:t>
      </w:r>
      <w:r>
        <w:br/>
      </w:r>
      <w:r>
        <w:t xml:space="preserve">Marine Biodiversity Summit in DC</w:t>
      </w:r>
      <w:r>
        <w:br/>
      </w:r>
      <w:r>
        <w:t xml:space="preserve">(organized by Gabrielle, Emmett)</w:t>
      </w:r>
    </w:p>
    <w:p>
      <w:pPr>
        <w:numPr>
          <w:ilvl w:val="0"/>
          <w:numId w:val="1028"/>
        </w:numPr>
      </w:pPr>
      <w:r>
        <w:rPr>
          <w:bCs/>
          <w:b/>
        </w:rPr>
        <w:t xml:space="preserve">2024-03-21</w:t>
      </w:r>
      <w:r>
        <w:br/>
      </w:r>
      <w:r>
        <w:t xml:space="preserve">SDM meeting in New Orleans</w:t>
      </w:r>
      <w:r>
        <w:br/>
      </w:r>
      <w:r>
        <w:t xml:space="preserve">(organized by BDB; so far AquaMaps)</w:t>
      </w:r>
    </w:p>
    <w:bookmarkEnd w:id="102"/>
    <w:bookmarkStart w:id="103" w:name="sequence"/>
    <w:p>
      <w:pPr>
        <w:pStyle w:val="Heading3"/>
      </w:pPr>
      <w:r>
        <w:t xml:space="preserve">9.3.2 Sequence</w:t>
      </w:r>
    </w:p>
    <w:bookmarkEnd w:id="103"/>
    <w:bookmarkEnd w:id="104"/>
    <w:bookmarkEnd w:id="105"/>
    <w:bookmarkStart w:id="131" w:name="references"/>
    <w:p>
      <w:pPr>
        <w:pStyle w:val="Heading1"/>
      </w:pPr>
      <w:r>
        <w:t xml:space="preserve">References</w:t>
      </w:r>
    </w:p>
    <w:bookmarkStart w:id="130" w:name="refs"/>
    <w:bookmarkStart w:id="107" w:name="ref-camposEcologicalNicheModels2023"/>
    <w:p>
      <w:pPr>
        <w:pStyle w:val="Bibliography"/>
      </w:pPr>
      <w:r>
        <w:t xml:space="preserve">Campos, João C., Nuno Garcia, João Alírio, Salvador Arenas-Castro, Ana C. Teodoro, and Neftalí Sillero. 2023.</w:t>
      </w:r>
      <w:r>
        <w:t xml:space="preserve"> </w:t>
      </w:r>
      <w:r>
        <w:t xml:space="preserve">“Ecological</w:t>
      </w:r>
      <w:r>
        <w:t xml:space="preserve"> </w:t>
      </w:r>
      <w:r>
        <w:t xml:space="preserve">Niche Models</w:t>
      </w:r>
      <w:r>
        <w:t xml:space="preserve"> </w:t>
      </w:r>
      <w:r>
        <w:t xml:space="preserve">Using</w:t>
      </w:r>
      <w:r>
        <w:t xml:space="preserve"> </w:t>
      </w:r>
      <w:r>
        <w:t xml:space="preserve">MaxEnt</w:t>
      </w:r>
      <w:r>
        <w:t xml:space="preserve"> </w:t>
      </w:r>
      <w:r>
        <w:t xml:space="preserve">in</w:t>
      </w:r>
      <w:r>
        <w:t xml:space="preserve"> </w:t>
      </w:r>
      <w:r>
        <w:t xml:space="preserve">Google Earth Engine</w:t>
      </w:r>
      <w:r>
        <w:t xml:space="preserve">:</w:t>
      </w:r>
      <w:r>
        <w:t xml:space="preserve"> </w:t>
      </w:r>
      <w:r>
        <w:t xml:space="preserve">Evaluation</w:t>
      </w:r>
      <w:r>
        <w:t xml:space="preserve">, Guidelines and Recommendations.”</w:t>
      </w:r>
      <w:r>
        <w:t xml:space="preserve"> </w:t>
      </w:r>
      <w:r>
        <w:rPr>
          <w:iCs/>
          <w:i/>
        </w:rPr>
        <w:t xml:space="preserve">Ecological Informatics</w:t>
      </w:r>
      <w:r>
        <w:t xml:space="preserve"> </w:t>
      </w:r>
      <w:r>
        <w:t xml:space="preserve">76 (September): 102147.</w:t>
      </w:r>
      <w:r>
        <w:t xml:space="preserve"> </w:t>
      </w:r>
      <w:hyperlink r:id="rId106">
        <w:r>
          <w:rPr>
            <w:rStyle w:val="Hyperlink"/>
          </w:rPr>
          <w:t xml:space="preserve">https://doi.org/10.1016/j.ecoinf.2023.102147</w:t>
        </w:r>
      </w:hyperlink>
      <w:r>
        <w:t xml:space="preserve">.</w:t>
      </w:r>
    </w:p>
    <w:bookmarkEnd w:id="107"/>
    <w:bookmarkStart w:id="109" w:name="ref-elith2009"/>
    <w:p>
      <w:pPr>
        <w:pStyle w:val="Bibliography"/>
      </w:pPr>
      <w:r>
        <w:t xml:space="preserve">Elith, Jane, and John R. Leathwick. 2009.</w:t>
      </w:r>
      <w:r>
        <w:t xml:space="preserve"> </w:t>
      </w:r>
      <w:r>
        <w:t xml:space="preserve">“Species Distribution Models: Ecological Explanation and Prediction Across Space and Time.”</w:t>
      </w:r>
      <w:r>
        <w:t xml:space="preserve"> </w:t>
      </w:r>
      <w:r>
        <w:rPr>
          <w:iCs/>
          <w:i/>
        </w:rPr>
        <w:t xml:space="preserve">Annual Review of Ecology, Evolution, and Systematics</w:t>
      </w:r>
      <w:r>
        <w:t xml:space="preserve"> </w:t>
      </w:r>
      <w:r>
        <w:t xml:space="preserve">40 (1): 677–97.</w:t>
      </w:r>
      <w:r>
        <w:t xml:space="preserve"> </w:t>
      </w:r>
      <w:hyperlink r:id="rId108">
        <w:r>
          <w:rPr>
            <w:rStyle w:val="Hyperlink"/>
          </w:rPr>
          <w:t xml:space="preserve">https://doi.org/10.1146/annurev.ecolsys.110308.120159</w:t>
        </w:r>
      </w:hyperlink>
      <w:r>
        <w:t xml:space="preserve">.</w:t>
      </w:r>
    </w:p>
    <w:bookmarkEnd w:id="109"/>
    <w:bookmarkStart w:id="111" w:name="ref-elith2011"/>
    <w:p>
      <w:pPr>
        <w:pStyle w:val="Bibliography"/>
      </w:pPr>
      <w:r>
        <w:t xml:space="preserve">Elith, Jane, Steven J. Phillips, Trevor Hastie, Miroslav Dudík, Yung En Chee, and Colin J. Yates. 2011.</w:t>
      </w:r>
      <w:r>
        <w:t xml:space="preserve"> </w:t>
      </w:r>
      <w:r>
        <w:t xml:space="preserve">“A Statistical Explanation of MaxEnt for Ecologists.”</w:t>
      </w:r>
      <w:r>
        <w:t xml:space="preserve"> </w:t>
      </w:r>
      <w:r>
        <w:rPr>
          <w:iCs/>
          <w:i/>
        </w:rPr>
        <w:t xml:space="preserve">Diversity and Distributions</w:t>
      </w:r>
      <w:r>
        <w:t xml:space="preserve"> </w:t>
      </w:r>
      <w:r>
        <w:t xml:space="preserve">17 (1): 43–57.</w:t>
      </w:r>
      <w:r>
        <w:t xml:space="preserve"> </w:t>
      </w:r>
      <w:hyperlink r:id="rId110">
        <w:r>
          <w:rPr>
            <w:rStyle w:val="Hyperlink"/>
          </w:rPr>
          <w:t xml:space="preserve">http://dx.doi.org/10.1111/j.1472-4642.2010.00725.x</w:t>
        </w:r>
      </w:hyperlink>
      <w:r>
        <w:t xml:space="preserve">.</w:t>
      </w:r>
    </w:p>
    <w:bookmarkEnd w:id="111"/>
    <w:bookmarkStart w:id="113" w:name="ref-gorelick2017"/>
    <w:p>
      <w:pPr>
        <w:pStyle w:val="Bibliography"/>
      </w:pPr>
      <w:r>
        <w:t xml:space="preserve">Gorelick, Noel, Matt Hancher, Mike Dixon, Simon Ilyushchenko, David Thau, and Rebecca Moore. 2017.</w:t>
      </w:r>
      <w:r>
        <w:t xml:space="preserve"> </w:t>
      </w:r>
      <w:r>
        <w:t xml:space="preserve">“Google Earth Engine: Planetary-Scale Geospatial Analysis for Everyone.”</w:t>
      </w:r>
      <w:r>
        <w:t xml:space="preserve"> </w:t>
      </w:r>
      <w:r>
        <w:rPr>
          <w:iCs/>
          <w:i/>
        </w:rPr>
        <w:t xml:space="preserve">Remote Sensing of Environment</w:t>
      </w:r>
      <w:r>
        <w:t xml:space="preserve">, Big remotely sensed data: Tools, applications and experiences, 202 (December): 18–27.</w:t>
      </w:r>
      <w:r>
        <w:t xml:space="preserve"> </w:t>
      </w:r>
      <w:hyperlink r:id="rId112">
        <w:r>
          <w:rPr>
            <w:rStyle w:val="Hyperlink"/>
          </w:rPr>
          <w:t xml:space="preserve">https://doi.org/10.1016/j.rse.2017.06.031</w:t>
        </w:r>
      </w:hyperlink>
      <w:r>
        <w:t xml:space="preserve">.</w:t>
      </w:r>
    </w:p>
    <w:bookmarkEnd w:id="113"/>
    <w:bookmarkStart w:id="115" w:name="ref-grassle2000"/>
    <w:p>
      <w:pPr>
        <w:pStyle w:val="Bibliography"/>
      </w:pPr>
      <w:r>
        <w:t xml:space="preserve">Grassle, J. Frederick. 2000.</w:t>
      </w:r>
      <w:r>
        <w:t xml:space="preserve"> </w:t>
      </w:r>
      <w:r>
        <w:t xml:space="preserve">“The Ocean Biogeographic Information System (OBIS): An on-Line, Worldwide Atlas for Accessing, Modeling and Mapping Marine Biological Data in a Multidimensional Geographic Context.”</w:t>
      </w:r>
      <w:r>
        <w:t xml:space="preserve"> </w:t>
      </w:r>
      <w:r>
        <w:rPr>
          <w:iCs/>
          <w:i/>
        </w:rPr>
        <w:t xml:space="preserve">Oceanography</w:t>
      </w:r>
      <w:r>
        <w:t xml:space="preserve"> </w:t>
      </w:r>
      <w:r>
        <w:t xml:space="preserve">13 (3): 5–7.</w:t>
      </w:r>
      <w:r>
        <w:t xml:space="preserve"> </w:t>
      </w:r>
      <w:hyperlink r:id="rId114">
        <w:r>
          <w:rPr>
            <w:rStyle w:val="Hyperlink"/>
          </w:rPr>
          <w:t xml:space="preserve">https://www.jstor.org/stable/43924357</w:t>
        </w:r>
      </w:hyperlink>
      <w:r>
        <w:t xml:space="preserve">.</w:t>
      </w:r>
    </w:p>
    <w:bookmarkEnd w:id="115"/>
    <w:bookmarkStart w:id="117" w:name="ref-halpern2012"/>
    <w:p>
      <w:pPr>
        <w:pStyle w:val="Bibliography"/>
      </w:pPr>
      <w:r>
        <w:t xml:space="preserve">Halpern, Benjamin S., Catherine Longo, Darren Hardy, Karen L. McLeod, Jameal F. Samhouri, Steven K. Katona, Kristin Kleisner, et al. 2012.</w:t>
      </w:r>
      <w:r>
        <w:t xml:space="preserve"> </w:t>
      </w:r>
      <w:r>
        <w:t xml:space="preserve">“An Index to Assess the Health and Benefits of the Global Ocean.”</w:t>
      </w:r>
      <w:r>
        <w:t xml:space="preserve"> </w:t>
      </w:r>
      <w:r>
        <w:rPr>
          <w:iCs/>
          <w:i/>
        </w:rPr>
        <w:t xml:space="preserve">Nature</w:t>
      </w:r>
      <w:r>
        <w:t xml:space="preserve">.</w:t>
      </w:r>
      <w:r>
        <w:t xml:space="preserve"> </w:t>
      </w:r>
      <w:hyperlink r:id="rId116">
        <w:r>
          <w:rPr>
            <w:rStyle w:val="Hyperlink"/>
          </w:rPr>
          <w:t xml:space="preserve">https://doi.org/10.1038/nature11397</w:t>
        </w:r>
      </w:hyperlink>
      <w:r>
        <w:t xml:space="preserve">.</w:t>
      </w:r>
    </w:p>
    <w:bookmarkEnd w:id="117"/>
    <w:bookmarkStart w:id="119" w:name="ref-kaschner2006"/>
    <w:p>
      <w:pPr>
        <w:pStyle w:val="Bibliography"/>
      </w:pPr>
      <w:r>
        <w:t xml:space="preserve">Kaschner, K., R. Watson, A. W. Trites, and D. Pauly. 2006.</w:t>
      </w:r>
      <w:r>
        <w:t xml:space="preserve"> </w:t>
      </w:r>
      <w:r>
        <w:t xml:space="preserve">“Mapping World-Wide Distributions of Marine Mammal Species Using a Relative Environmental Suitability (RES) Model.”</w:t>
      </w:r>
      <w:r>
        <w:t xml:space="preserve"> </w:t>
      </w:r>
      <w:r>
        <w:rPr>
          <w:iCs/>
          <w:i/>
        </w:rPr>
        <w:t xml:space="preserve">Marine Ecology Progress Series</w:t>
      </w:r>
      <w:r>
        <w:t xml:space="preserve"> </w:t>
      </w:r>
      <w:r>
        <w:t xml:space="preserve">316 (July): 285–310.</w:t>
      </w:r>
      <w:r>
        <w:t xml:space="preserve"> </w:t>
      </w:r>
      <w:hyperlink r:id="rId118">
        <w:r>
          <w:rPr>
            <w:rStyle w:val="Hyperlink"/>
          </w:rPr>
          <w:t xml:space="preserve">https://doi.org/10.3354/meps316285</w:t>
        </w:r>
      </w:hyperlink>
      <w:r>
        <w:t xml:space="preserve">.</w:t>
      </w:r>
    </w:p>
    <w:bookmarkEnd w:id="119"/>
    <w:bookmarkStart w:id="121" w:name="ref-klein2019"/>
    <w:p>
      <w:pPr>
        <w:pStyle w:val="Bibliography"/>
      </w:pPr>
      <w:r>
        <w:t xml:space="preserve">Klein, Eduardo, Ward Appeltans, Pieter Provoost, Hanieh Saeedi, Abigail Benson, Lenore Bajona, Ana Carolina Peralta, and R. Sky Bristol. 2019.</w:t>
      </w:r>
      <w:r>
        <w:t xml:space="preserve"> </w:t>
      </w:r>
      <w:r>
        <w:t xml:space="preserve">“OBIS Infrastructure, Lessons Learned, and Vision for the Future.”</w:t>
      </w:r>
      <w:r>
        <w:t xml:space="preserve"> </w:t>
      </w:r>
      <w:r>
        <w:rPr>
          <w:iCs/>
          <w:i/>
        </w:rPr>
        <w:t xml:space="preserve">Frontiers in Marine Science</w:t>
      </w:r>
      <w:r>
        <w:t xml:space="preserve"> </w:t>
      </w:r>
      <w:r>
        <w:t xml:space="preserve">6.</w:t>
      </w:r>
      <w:r>
        <w:t xml:space="preserve"> </w:t>
      </w:r>
      <w:hyperlink r:id="rId120">
        <w:r>
          <w:rPr>
            <w:rStyle w:val="Hyperlink"/>
          </w:rPr>
          <w:t xml:space="preserve">https://www.frontiersin.org/articles/10.3389/fmars.2019.00588</w:t>
        </w:r>
      </w:hyperlink>
      <w:r>
        <w:t xml:space="preserve">.</w:t>
      </w:r>
    </w:p>
    <w:bookmarkEnd w:id="121"/>
    <w:bookmarkStart w:id="123" w:name="ref-ready2010"/>
    <w:p>
      <w:pPr>
        <w:pStyle w:val="Bibliography"/>
      </w:pPr>
      <w:r>
        <w:t xml:space="preserve">Ready, Jonathan, Kristin Kaschner, Andy B. South, Paul D. Eastwood, Tony Rees, Josephine Rius, Eli Agbayani, Sven Kullander, and Rainer Froese. 2010.</w:t>
      </w:r>
      <w:r>
        <w:t xml:space="preserve"> </w:t>
      </w:r>
      <w:r>
        <w:t xml:space="preserve">“Predicting the Distributions of Marine Organisms at the Global Scale.”</w:t>
      </w:r>
      <w:r>
        <w:t xml:space="preserve"> </w:t>
      </w:r>
      <w:r>
        <w:rPr>
          <w:iCs/>
          <w:i/>
        </w:rPr>
        <w:t xml:space="preserve">Ecological Modelling</w:t>
      </w:r>
      <w:r>
        <w:t xml:space="preserve"> </w:t>
      </w:r>
      <w:r>
        <w:t xml:space="preserve">221 (3): 467–78.</w:t>
      </w:r>
      <w:r>
        <w:t xml:space="preserve"> </w:t>
      </w:r>
      <w:hyperlink r:id="rId122">
        <w:r>
          <w:rPr>
            <w:rStyle w:val="Hyperlink"/>
          </w:rPr>
          <w:t xml:space="preserve">https://doi.org/10.1016/j.ecolmodel.2009.10.025</w:t>
        </w:r>
      </w:hyperlink>
      <w:r>
        <w:t xml:space="preserve">.</w:t>
      </w:r>
    </w:p>
    <w:bookmarkEnd w:id="123"/>
    <w:bookmarkStart w:id="125" w:name="ref-aquamapsdata"/>
    <w:p>
      <w:pPr>
        <w:pStyle w:val="Bibliography"/>
      </w:pPr>
      <w:r>
        <w:t xml:space="preserve">Skyttner, Markus. 2020.</w:t>
      </w:r>
      <w:r>
        <w:t xml:space="preserve"> </w:t>
      </w:r>
      <w:r>
        <w:t xml:space="preserve">“Aquamapsdata: Curated Data from AquaMaps.org.”</w:t>
      </w:r>
      <w:r>
        <w:t xml:space="preserve"> </w:t>
      </w:r>
      <w:hyperlink r:id="rId124">
        <w:r>
          <w:rPr>
            <w:rStyle w:val="Hyperlink"/>
          </w:rPr>
          <w:t xml:space="preserve">https://github.com/raquamaps/aquamapsdata</w:t>
        </w:r>
      </w:hyperlink>
      <w:r>
        <w:t xml:space="preserve">.</w:t>
      </w:r>
    </w:p>
    <w:bookmarkEnd w:id="125"/>
    <w:bookmarkStart w:id="127" w:name="ref-tittensor2010"/>
    <w:p>
      <w:pPr>
        <w:pStyle w:val="Bibliography"/>
      </w:pPr>
      <w:r>
        <w:t xml:space="preserve">Tittensor, Derek P., Camilo Mora, Walter Jetz, Heike K. Lotze, Daniel Ricard, Edward Vanden Berghe, and Boris Worm. 2010.</w:t>
      </w:r>
      <w:r>
        <w:t xml:space="preserve"> </w:t>
      </w:r>
      <w:r>
        <w:t xml:space="preserve">“Global Patterns and Predictors of Marine Biodiversity Across Taxa.”</w:t>
      </w:r>
      <w:r>
        <w:t xml:space="preserve"> </w:t>
      </w:r>
      <w:r>
        <w:rPr>
          <w:iCs/>
          <w:i/>
        </w:rPr>
        <w:t xml:space="preserve">Nature</w:t>
      </w:r>
      <w:r>
        <w:t xml:space="preserve"> </w:t>
      </w:r>
      <w:r>
        <w:t xml:space="preserve">466 (7310): 1098–1101.</w:t>
      </w:r>
      <w:r>
        <w:t xml:space="preserve"> </w:t>
      </w:r>
      <w:hyperlink r:id="rId126">
        <w:r>
          <w:rPr>
            <w:rStyle w:val="Hyperlink"/>
          </w:rPr>
          <w:t xml:space="preserve">https://doi.org/10.1038/nature09329</w:t>
        </w:r>
      </w:hyperlink>
      <w:r>
        <w:t xml:space="preserve">.</w:t>
      </w:r>
    </w:p>
    <w:bookmarkEnd w:id="127"/>
    <w:bookmarkStart w:id="129" w:name="ref-visalli2020"/>
    <w:p>
      <w:pPr>
        <w:pStyle w:val="Bibliography"/>
      </w:pPr>
      <w:r>
        <w:t xml:space="preserve">Visalli, Morgan E., Benjamin D. Best, Reniel B. Cabral, William W. L. Cheung, Nichola A. Clark, Cristina Garilao, Kristin Kaschner, et al. 2020.</w:t>
      </w:r>
      <w:r>
        <w:t xml:space="preserve"> </w:t>
      </w:r>
      <w:r>
        <w:t xml:space="preserve">“Data-Driven Approach for Highlighting Priority Areas for Protection in Marine Areas Beyond National Jurisdiction.”</w:t>
      </w:r>
      <w:r>
        <w:t xml:space="preserve"> </w:t>
      </w:r>
      <w:r>
        <w:rPr>
          <w:iCs/>
          <w:i/>
        </w:rPr>
        <w:t xml:space="preserve">Marine Policy</w:t>
      </w:r>
      <w:r>
        <w:t xml:space="preserve">, March, 103927.</w:t>
      </w:r>
      <w:r>
        <w:t xml:space="preserve"> </w:t>
      </w:r>
      <w:hyperlink r:id="rId128">
        <w:r>
          <w:rPr>
            <w:rStyle w:val="Hyperlink"/>
          </w:rPr>
          <w:t xml:space="preserve">https://doi.org/10.1016/j.marpol.2020.103927</w:t>
        </w:r>
      </w:hyperlink>
      <w:r>
        <w:t xml:space="preserve">.</w:t>
      </w:r>
    </w:p>
    <w:bookmarkEnd w:id="129"/>
    <w:bookmarkEnd w:id="130"/>
    <w:bookmarkEnd w:id="131"/>
    <w:bookmarkStart w:id="133" w:name="glossary"/>
    <w:p>
      <w:pPr>
        <w:pStyle w:val="Heading1"/>
      </w:pPr>
      <w:r>
        <w:t xml:space="preserve">Appendix A — Glossary</w:t>
      </w:r>
    </w:p>
    <w:p>
      <w:pPr>
        <w:pStyle w:val="SourceCode"/>
      </w:pPr>
      <w:r>
        <w:rPr>
          <w:rStyle w:val="NormalTok"/>
        </w:rPr>
        <w:t xml:space="preserve">glossary</w:t>
      </w:r>
      <w:r>
        <w:rPr>
          <w:rStyle w:val="SpecialCharTok"/>
        </w:rPr>
        <w:t xml:space="preserve">::</w:t>
      </w:r>
      <w:r>
        <w:rPr>
          <w:rStyle w:val="FunctionTok"/>
        </w:rPr>
        <w:t xml:space="preserve">glossary_table</w:t>
      </w:r>
      <w:r>
        <w:rPr>
          <w:rStyle w:val="NormalTok"/>
        </w:rPr>
        <w:t xml:space="preserve">(</w:t>
      </w:r>
      <w:r>
        <w:rPr>
          <w:rStyle w:val="AttributeTok"/>
        </w:rPr>
        <w:t xml:space="preserve">as_kable=</w:t>
      </w:r>
      <w:r>
        <w:rPr>
          <w:rStyle w:val="NormalTok"/>
        </w:rPr>
        <w:t xml:space="preserve">F) </w:t>
      </w:r>
      <w:r>
        <w:rPr>
          <w:rStyle w:val="SpecialCharTok"/>
        </w:rPr>
        <w:t xml:space="preserve">|&gt;</w:t>
      </w:r>
      <w:r>
        <w:rPr>
          <w:rStyle w:val="NormalTok"/>
        </w:rPr>
        <w:t xml:space="preserve"> </w:t>
      </w:r>
      <w:r>
        <w:br/>
      </w:r>
      <w:r>
        <w:rPr>
          <w:rStyle w:val="NormalTok"/>
        </w:rPr>
        <w:t xml:space="preserve">  knitr</w:t>
      </w:r>
      <w:r>
        <w:rPr>
          <w:rStyle w:val="SpecialCharTok"/>
        </w:rPr>
        <w:t xml:space="preserve">::</w:t>
      </w:r>
      <w:r>
        <w:rPr>
          <w:rStyle w:val="FunctionTok"/>
        </w:rPr>
        <w:t xml:space="preserve">kable</w:t>
      </w:r>
      <w:r>
        <w:rPr>
          <w:rStyle w:val="NormalTok"/>
        </w:rPr>
        <w:t xml:space="preserve">(</w:t>
      </w:r>
      <w:r>
        <w:rPr>
          <w:rStyle w:val="StringTok"/>
        </w:rPr>
        <w:t xml:space="preserve">"pipe"</w:t>
      </w:r>
      <w:r>
        <w:rPr>
          <w:rStyle w:val="NormalTok"/>
        </w:rPr>
        <w:t xml:space="preserve">, </w:t>
      </w:r>
      <w:r>
        <w:rPr>
          <w:rStyle w:val="AttributeTok"/>
        </w:rPr>
        <w:t xml:space="preserve">escape =</w:t>
      </w:r>
      <w:r>
        <w:rPr>
          <w:rStyle w:val="NormalTok"/>
        </w:rPr>
        <w:t xml:space="preserve"> F, </w:t>
      </w:r>
      <w:r>
        <w:rPr>
          <w:rStyle w:val="AttributeTok"/>
        </w:rPr>
        <w:t xml:space="preserve">row.names =</w:t>
      </w:r>
      <w:r>
        <w:rPr>
          <w:rStyle w:val="NormalTok"/>
        </w:rPr>
        <w:t xml:space="preserve"> F)</w:t>
      </w:r>
    </w:p>
    <w:tbl>
      <w:tblPr>
        <w:tblStyle w:val="Table"/>
        <w:tblW w:type="pct" w:w="5000"/>
        <w:tblLook w:firstRow="1" w:lastRow="0" w:firstColumn="0" w:lastColumn="0" w:noHBand="0" w:noVBand="0" w:val="0020"/>
        <w:jc w:val="start"/>
      </w:tblPr>
      <w:tblGrid>
        <w:gridCol w:w="618"/>
        <w:gridCol w:w="7301"/>
      </w:tblGrid>
      <w:tr>
        <w:trPr>
          <w:tblHeader w:val="true"/>
        </w:trPr>
        <w:tc>
          <w:tcPr/>
          <w:p>
            <w:pPr>
              <w:pStyle w:val="Compact"/>
              <w:jc w:val="left"/>
            </w:pPr>
            <w:r>
              <w:t xml:space="preserve">term</w:t>
            </w:r>
          </w:p>
        </w:tc>
        <w:tc>
          <w:tcPr/>
          <w:p>
            <w:pPr>
              <w:pStyle w:val="Compact"/>
              <w:jc w:val="left"/>
            </w:pPr>
            <w:r>
              <w:t xml:space="preserve">definition</w:t>
            </w:r>
          </w:p>
        </w:tc>
      </w:tr>
      <w:tr>
        <w:tc>
          <w:tcPr/>
          <w:p>
            <w:pPr>
              <w:pStyle w:val="Compact"/>
              <w:jc w:val="left"/>
            </w:pPr>
            <w:r>
              <w:t xml:space="preserve">MBON</w:t>
            </w:r>
          </w:p>
        </w:tc>
        <w:tc>
          <w:tcPr/>
          <w:p>
            <w:pPr>
              <w:pStyle w:val="Compact"/>
              <w:jc w:val="left"/>
            </w:pPr>
            <w:r>
              <w:t xml:space="preserve">Marine Biodiversity Observation Network; see</w:t>
            </w:r>
            <w:r>
              <w:t xml:space="preserve"> </w:t>
            </w:r>
            <w:hyperlink r:id="rId132">
              <w:r>
                <w:rPr>
                  <w:rStyle w:val="Hyperlink"/>
                </w:rPr>
                <w:t xml:space="preserve">MarineBON.org</w:t>
              </w:r>
            </w:hyperlink>
          </w:p>
        </w:tc>
      </w:tr>
    </w:tbl>
    <w:bookmarkEnd w:id="133"/>
    <w:bookmarkStart w:id="139" w:name="aquamaps-downscaled"/>
    <w:p>
      <w:pPr>
        <w:pStyle w:val="Heading1"/>
      </w:pPr>
      <w:r>
        <w:t xml:space="preserve">AquaMaps Downscaled</w:t>
      </w:r>
    </w:p>
    <w:p>
      <w:pPr>
        <w:pStyle w:val="FirstParagraph"/>
      </w:pPr>
      <w:r>
        <w:t xml:space="preserve">Downscale AquaMaps from 1/2º to GEBCO 1/240º using Google Earth Engine and Shiny.</w:t>
      </w:r>
    </w:p>
    <w:p>
      <w:pPr>
        <w:numPr>
          <w:ilvl w:val="0"/>
          <w:numId w:val="1030"/>
        </w:numPr>
      </w:pPr>
      <w:hyperlink r:id="rId134">
        <w:r>
          <w:rPr>
            <w:rStyle w:val="Hyperlink"/>
          </w:rPr>
          <w:t xml:space="preserve"> website</w:t>
        </w:r>
      </w:hyperlink>
    </w:p>
    <w:p>
      <w:pPr>
        <w:numPr>
          <w:ilvl w:val="0"/>
          <w:numId w:val="1030"/>
        </w:numPr>
      </w:pPr>
      <w:hyperlink r:id="rId135">
        <w:r>
          <w:rPr>
            <w:rStyle w:val="Hyperlink"/>
          </w:rPr>
          <w:t xml:space="preserve"> </w:t>
        </w:r>
        <w:r>
          <w:rPr>
            <w:rStyle w:val="VerbatimChar"/>
          </w:rPr>
          <w:t xml:space="preserve">code</w:t>
        </w:r>
      </w:hyperlink>
    </w:p>
    <w:p>
      <w:pPr>
        <w:pStyle w:val="FirstParagraph"/>
      </w:pPr>
      <w:r>
        <w:drawing>
          <wp:inline>
            <wp:extent cx="5334000" cy="2760009"/>
            <wp:effectExtent b="0" l="0" r="0" t="0"/>
            <wp:docPr descr="" title="" id="137" name="Picture"/>
            <a:graphic>
              <a:graphicData uri="http://schemas.openxmlformats.org/drawingml/2006/picture">
                <pic:pic>
                  <pic:nvPicPr>
                    <pic:cNvPr descr="explorations/../figures/experiments/aquamaps-downscaled.png" id="138" name="Picture"/>
                    <pic:cNvPicPr>
                      <a:picLocks noChangeArrowheads="1" noChangeAspect="1"/>
                    </pic:cNvPicPr>
                  </pic:nvPicPr>
                  <pic:blipFill>
                    <a:blip r:embed="rId136"/>
                    <a:stretch>
                      <a:fillRect/>
                    </a:stretch>
                  </pic:blipFill>
                  <pic:spPr bwMode="auto">
                    <a:xfrm>
                      <a:off x="0" y="0"/>
                      <a:ext cx="5334000" cy="2760009"/>
                    </a:xfrm>
                    <a:prstGeom prst="rect">
                      <a:avLst/>
                    </a:prstGeom>
                    <a:noFill/>
                    <a:ln w="9525">
                      <a:noFill/>
                      <a:headEnd/>
                      <a:tailEnd/>
                    </a:ln>
                  </pic:spPr>
                </pic:pic>
              </a:graphicData>
            </a:graphic>
          </wp:inline>
        </w:drawing>
      </w:r>
    </w:p>
    <w:bookmarkEnd w:id="139"/>
    <w:bookmarkStart w:id="144" w:name="aquamaps-envelope"/>
    <w:p>
      <w:pPr>
        <w:pStyle w:val="Heading1"/>
      </w:pPr>
      <w:r>
        <w:t xml:space="preserve">AquaMaps Envelope</w:t>
      </w:r>
    </w:p>
    <w:p>
      <w:pPr>
        <w:pStyle w:val="FirstParagraph"/>
      </w:pPr>
      <w:r>
        <w:t xml:space="preserve">Extract and plot AquaMaps environmental envelope, ramp rasters, using R.</w:t>
      </w:r>
    </w:p>
    <w:p>
      <w:pPr>
        <w:numPr>
          <w:ilvl w:val="0"/>
          <w:numId w:val="1031"/>
        </w:numPr>
      </w:pPr>
      <w:hyperlink r:id="rId140">
        <w:r>
          <w:rPr>
            <w:rStyle w:val="Hyperlink"/>
          </w:rPr>
          <w:t xml:space="preserve"> website</w:t>
        </w:r>
      </w:hyperlink>
    </w:p>
    <w:p>
      <w:pPr>
        <w:numPr>
          <w:ilvl w:val="0"/>
          <w:numId w:val="1031"/>
        </w:numPr>
      </w:pPr>
      <w:hyperlink r:id="rId140">
        <w:r>
          <w:rPr>
            <w:rStyle w:val="Hyperlink"/>
          </w:rPr>
          <w:t xml:space="preserve"> </w:t>
        </w:r>
        <w:r>
          <w:rPr>
            <w:rStyle w:val="VerbatimChar"/>
          </w:rPr>
          <w:t xml:space="preserve">code</w:t>
        </w:r>
      </w:hyperlink>
    </w:p>
    <w:p>
      <w:pPr>
        <w:pStyle w:val="FirstParagraph"/>
      </w:pPr>
      <w:r>
        <w:drawing>
          <wp:inline>
            <wp:extent cx="5334000" cy="3810000"/>
            <wp:effectExtent b="0" l="0" r="0" t="0"/>
            <wp:docPr descr="" title="" id="142" name="Picture"/>
            <a:graphic>
              <a:graphicData uri="http://schemas.openxmlformats.org/drawingml/2006/picture">
                <pic:pic>
                  <pic:nvPicPr>
                    <pic:cNvPr descr="https://marinebon.github.io/aquamaps-downscaled/index_files/figure-html/fig-blue_whale_env_yes-1.png" id="143" name="Picture"/>
                    <pic:cNvPicPr>
                      <a:picLocks noChangeArrowheads="1" noChangeAspect="1"/>
                    </pic:cNvPicPr>
                  </pic:nvPicPr>
                  <pic:blipFill>
                    <a:blip r:embed="rId141"/>
                    <a:stretch>
                      <a:fillRect/>
                    </a:stretch>
                  </pic:blipFill>
                  <pic:spPr bwMode="auto">
                    <a:xfrm>
                      <a:off x="0" y="0"/>
                      <a:ext cx="5334000" cy="3810000"/>
                    </a:xfrm>
                    <a:prstGeom prst="rect">
                      <a:avLst/>
                    </a:prstGeom>
                    <a:noFill/>
                    <a:ln w="9525">
                      <a:noFill/>
                      <a:headEnd/>
                      <a:tailEnd/>
                    </a:ln>
                  </pic:spPr>
                </pic:pic>
              </a:graphicData>
            </a:graphic>
          </wp:inline>
        </w:drawing>
      </w:r>
    </w:p>
    <w:bookmarkEnd w:id="144"/>
    <w:bookmarkStart w:id="148" w:name="sdm-using-predicts-in-r"/>
    <w:p>
      <w:pPr>
        <w:pStyle w:val="Heading1"/>
      </w:pPr>
      <w:r>
        <w:t xml:space="preserve">SDM using</w:t>
      </w:r>
      <w:r>
        <w:t xml:space="preserve"> </w:t>
      </w:r>
      <w:r>
        <w:rPr>
          <w:rStyle w:val="VerbatimChar"/>
        </w:rPr>
        <w:t xml:space="preserve">predicts</w:t>
      </w:r>
      <w:r>
        <w:t xml:space="preserve"> </w:t>
      </w:r>
      <w:r>
        <w:t xml:space="preserve">in R</w:t>
      </w:r>
    </w:p>
    <w:p>
      <w:pPr>
        <w:pStyle w:val="FirstParagraph"/>
      </w:pPr>
      <w:r>
        <w:t xml:space="preserve">Predict species distribution of N Atlantic right whale using OBIS occcurrences and</w:t>
      </w:r>
      <w:r>
        <w:t xml:space="preserve"> </w:t>
      </w:r>
      <w:r>
        <w:rPr>
          <w:rStyle w:val="VerbatimChar"/>
        </w:rPr>
        <w:t xml:space="preserve">predicts</w:t>
      </w:r>
      <w:r>
        <w:t xml:space="preserve"> </w:t>
      </w:r>
      <w:r>
        <w:t xml:space="preserve">package in R.</w:t>
      </w:r>
    </w:p>
    <w:p>
      <w:pPr>
        <w:numPr>
          <w:ilvl w:val="0"/>
          <w:numId w:val="1032"/>
        </w:numPr>
      </w:pPr>
      <w:hyperlink r:id="rId140">
        <w:r>
          <w:rPr>
            <w:rStyle w:val="Hyperlink"/>
          </w:rPr>
          <w:t xml:space="preserve"> website</w:t>
        </w:r>
      </w:hyperlink>
    </w:p>
    <w:p>
      <w:pPr>
        <w:numPr>
          <w:ilvl w:val="0"/>
          <w:numId w:val="1032"/>
        </w:numPr>
      </w:pPr>
      <w:hyperlink r:id="rId140">
        <w:r>
          <w:rPr>
            <w:rStyle w:val="Hyperlink"/>
          </w:rPr>
          <w:t xml:space="preserve"> </w:t>
        </w:r>
        <w:r>
          <w:rPr>
            <w:rStyle w:val="VerbatimChar"/>
          </w:rPr>
          <w:t xml:space="preserve">code</w:t>
        </w:r>
      </w:hyperlink>
    </w:p>
    <w:p>
      <w:pPr>
        <w:pStyle w:val="FirstParagraph"/>
      </w:pPr>
      <w:r>
        <w:drawing>
          <wp:inline>
            <wp:extent cx="5334000" cy="2975867"/>
            <wp:effectExtent b="0" l="0" r="0" t="0"/>
            <wp:docPr descr="" title="" id="146" name="Picture"/>
            <a:graphic>
              <a:graphicData uri="http://schemas.openxmlformats.org/drawingml/2006/picture">
                <pic:pic>
                  <pic:nvPicPr>
                    <pic:cNvPr descr="explorations/../figures/experiments/sdm-1_predicts.png" id="147" name="Picture"/>
                    <pic:cNvPicPr>
                      <a:picLocks noChangeArrowheads="1" noChangeAspect="1"/>
                    </pic:cNvPicPr>
                  </pic:nvPicPr>
                  <pic:blipFill>
                    <a:blip r:embed="rId145"/>
                    <a:stretch>
                      <a:fillRect/>
                    </a:stretch>
                  </pic:blipFill>
                  <pic:spPr bwMode="auto">
                    <a:xfrm>
                      <a:off x="0" y="0"/>
                      <a:ext cx="5334000" cy="2975867"/>
                    </a:xfrm>
                    <a:prstGeom prst="rect">
                      <a:avLst/>
                    </a:prstGeom>
                    <a:noFill/>
                    <a:ln w="9525">
                      <a:noFill/>
                      <a:headEnd/>
                      <a:tailEnd/>
                    </a:ln>
                  </pic:spPr>
                </pic:pic>
              </a:graphicData>
            </a:graphic>
          </wp:inline>
        </w:drawing>
      </w:r>
    </w:p>
    <w:bookmarkEnd w:id="14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IUCN RedList range maps:</w:t>
      </w:r>
      <w:r>
        <w:t xml:space="preserve"> </w:t>
      </w:r>
      <w:hyperlink r:id="rId21">
        <w:r>
          <w:rPr>
            <w:rStyle w:val="Hyperlink"/>
          </w:rPr>
          <w:t xml:space="preserve">https://www.iucnredlist.org/resources/spatial-data-download</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136" Target="media/rId136.png" /><Relationship Type="http://schemas.openxmlformats.org/officeDocument/2006/relationships/image" Id="rId145" Target="media/rId145.png" /><Relationship Type="http://schemas.openxmlformats.org/officeDocument/2006/relationships/image" Id="rId59" Target="media/rId59.png" /><Relationship Type="http://schemas.openxmlformats.org/officeDocument/2006/relationships/image" Id="rId80" Target="media/rId80.png" /><Relationship Type="http://schemas.openxmlformats.org/officeDocument/2006/relationships/image" Id="rId55" Target="media/rId55.png" /><Relationship Type="http://schemas.openxmlformats.org/officeDocument/2006/relationships/image" Id="rId141" Target="media/rId141.png" /><Relationship Type="http://schemas.openxmlformats.org/officeDocument/2006/relationships/image" Id="rId49" Target="media/rId49.png" /><Relationship Type="http://schemas.openxmlformats.org/officeDocument/2006/relationships/image" Id="rId40" Target="media/rId40.png" /><Relationship Type="http://schemas.openxmlformats.org/officeDocument/2006/relationships/hyperlink" Id="rId140" Target="" TargetMode="External" /><Relationship Type="http://schemas.openxmlformats.org/officeDocument/2006/relationships/hyperlink" Id="rId132" Target="MarineBON.org" TargetMode="External" /><Relationship Type="http://schemas.openxmlformats.org/officeDocument/2006/relationships/hyperlink" Id="rId100" Target="MarineSpeciesMaps.org" TargetMode="External" /><Relationship Type="http://schemas.openxmlformats.org/officeDocument/2006/relationships/hyperlink" Id="rId25" Target="OBIS.org" TargetMode="External" /><Relationship Type="http://schemas.openxmlformats.org/officeDocument/2006/relationships/hyperlink" Id="rId84" Target="Species%20distribution%20modeling,%20calibration%20and%20evaluation,%20ensemble%20modeling" TargetMode="External" /><Relationship Type="http://schemas.openxmlformats.org/officeDocument/2006/relationships/hyperlink" Id="rId110" Target="http://dx.doi.org/10.1111/j.1472-4642.2010.00725.x" TargetMode="External" /><Relationship Type="http://schemas.openxmlformats.org/officeDocument/2006/relationships/hyperlink" Id="rId93" Target="https://apps-st.fisheries.noaa.gov/dismap/" TargetMode="External" /><Relationship Type="http://schemas.openxmlformats.org/officeDocument/2006/relationships/hyperlink" Id="rId24" Target="https://aquamaps.org/" TargetMode="External" /><Relationship Type="http://schemas.openxmlformats.org/officeDocument/2006/relationships/hyperlink" Id="rId54" Target="https://biomodhub.github.io/biomod2/" TargetMode="External" /><Relationship Type="http://schemas.openxmlformats.org/officeDocument/2006/relationships/hyperlink" Id="rId26" Target="https://cran.r-project.org/web/packages/dismo/vignettes/sdm.pdf" TargetMode="External" /><Relationship Type="http://schemas.openxmlformats.org/officeDocument/2006/relationships/hyperlink" Id="rId79" Target="https://cran.r-project.org/web/packages/eks/vignettes/tidysf_kde.html" TargetMode="External" /><Relationship Type="http://schemas.openxmlformats.org/officeDocument/2006/relationships/hyperlink" Id="rId86" Target="https://docs.xarray.dev/en/stable/" TargetMode="External" /><Relationship Type="http://schemas.openxmlformats.org/officeDocument/2006/relationships/hyperlink" Id="rId106" Target="https://doi.org/10.1016/j.ecoinf.2023.102147" TargetMode="External" /><Relationship Type="http://schemas.openxmlformats.org/officeDocument/2006/relationships/hyperlink" Id="rId122" Target="https://doi.org/10.1016/j.ecolmodel.2009.10.025" TargetMode="External" /><Relationship Type="http://schemas.openxmlformats.org/officeDocument/2006/relationships/hyperlink" Id="rId128" Target="https://doi.org/10.1016/j.marpol.2020.103927" TargetMode="External" /><Relationship Type="http://schemas.openxmlformats.org/officeDocument/2006/relationships/hyperlink" Id="rId112" Target="https://doi.org/10.1016/j.rse.2017.06.031" TargetMode="External" /><Relationship Type="http://schemas.openxmlformats.org/officeDocument/2006/relationships/hyperlink" Id="rId126" Target="https://doi.org/10.1038/nature09329" TargetMode="External" /><Relationship Type="http://schemas.openxmlformats.org/officeDocument/2006/relationships/hyperlink" Id="rId116" Target="https://doi.org/10.1038/nature11397" TargetMode="External" /><Relationship Type="http://schemas.openxmlformats.org/officeDocument/2006/relationships/hyperlink" Id="rId108" Target="https://doi.org/10.1146/annurev.ecolsys.110308.120159" TargetMode="External" /><Relationship Type="http://schemas.openxmlformats.org/officeDocument/2006/relationships/hyperlink" Id="rId118" Target="https://doi.org/10.3354/meps316285" TargetMode="External" /><Relationship Type="http://schemas.openxmlformats.org/officeDocument/2006/relationships/hyperlink" Id="rId29" Target="https://en.wikipedia.org/wiki/30_by_30" TargetMode="External" /><Relationship Type="http://schemas.openxmlformats.org/officeDocument/2006/relationships/hyperlink" Id="rId96" Target="https://fishglob.sites.ucsc.edu/" TargetMode="External" /><Relationship Type="http://schemas.openxmlformats.org/officeDocument/2006/relationships/hyperlink" Id="rId88" Target="https://github.com/google/Xee" TargetMode="External" /><Relationship Type="http://schemas.openxmlformats.org/officeDocument/2006/relationships/hyperlink" Id="rId37" Target="https://github.com/marinebon/MarineSDMs/issues/new/choose" TargetMode="External" /><Relationship Type="http://schemas.openxmlformats.org/officeDocument/2006/relationships/hyperlink" Id="rId135" Target="https://github.com/marinebon/aquamaps-downscaled/tree/main/sp-map" TargetMode="External" /><Relationship Type="http://schemas.openxmlformats.org/officeDocument/2006/relationships/hyperlink" Id="rId124" Target="https://github.com/raquamaps/aquamapsdata" TargetMode="External" /><Relationship Type="http://schemas.openxmlformats.org/officeDocument/2006/relationships/hyperlink" Id="rId89" Target="https://google.github.io/Xee/" TargetMode="External" /><Relationship Type="http://schemas.openxmlformats.org/officeDocument/2006/relationships/hyperlink" Id="rId36" Target="https://marinebon.github.io/MarineSDMs/MarineSDMs.docx" TargetMode="External" /><Relationship Type="http://schemas.openxmlformats.org/officeDocument/2006/relationships/hyperlink" Id="rId35" Target="https://marinebon.github.io/MarineSDMs/MarineSDMs.pdf" TargetMode="External" /><Relationship Type="http://schemas.openxmlformats.org/officeDocument/2006/relationships/hyperlink" Id="rId64" Target="https://marinebon.github.io/gmbi/articles/calc.html#assign-taxonomic-groups" TargetMode="External" /><Relationship Type="http://schemas.openxmlformats.org/officeDocument/2006/relationships/hyperlink" Id="rId94" Target="https://marinebon.org/" TargetMode="External" /><Relationship Type="http://schemas.openxmlformats.org/officeDocument/2006/relationships/hyperlink" Id="rId97" Target="https://mgel.env.duke.edu/" TargetMode="External" /><Relationship Type="http://schemas.openxmlformats.org/officeDocument/2006/relationships/hyperlink" Id="rId95" Target="https://obis.org/" TargetMode="External" /><Relationship Type="http://schemas.openxmlformats.org/officeDocument/2006/relationships/hyperlink" Id="rId27" Target="https://rspatial.org/raster/sdm/" TargetMode="External" /><Relationship Type="http://schemas.openxmlformats.org/officeDocument/2006/relationships/hyperlink" Id="rId28" Target="https://rspatial.org/sdm/" TargetMode="External" /><Relationship Type="http://schemas.openxmlformats.org/officeDocument/2006/relationships/hyperlink" Id="rId134" Target="https://shiny.marinebon.app/am-fine/" TargetMode="External" /><Relationship Type="http://schemas.openxmlformats.org/officeDocument/2006/relationships/hyperlink" Id="rId92" Target="https://www.aquamaps.org/" TargetMode="External" /><Relationship Type="http://schemas.openxmlformats.org/officeDocument/2006/relationships/hyperlink" Id="rId120" Target="https://www.frontiersin.org/articles/10.3389/fmars.2019.00588" TargetMode="External" /><Relationship Type="http://schemas.openxmlformats.org/officeDocument/2006/relationships/hyperlink" Id="rId21" Target="https://www.iucnredlist.org/resources/spatial-data-download" TargetMode="External" /><Relationship Type="http://schemas.openxmlformats.org/officeDocument/2006/relationships/hyperlink" Id="rId114" Target="https://www.jstor.org/stable/43924357" TargetMode="External" /><Relationship Type="http://schemas.openxmlformats.org/officeDocument/2006/relationships/hyperlink" Id="rId68" Target="https://www.natureserve.org/conservation-status-assessment" TargetMode="External" /><Relationship Type="http://schemas.openxmlformats.org/officeDocument/2006/relationships/hyperlink" Id="rId30" Target="https://www.noaa.gov/america-the-beautiful" TargetMode="External" /><Relationship Type="http://schemas.openxmlformats.org/officeDocument/2006/relationships/hyperlink" Id="rId98" Target="https://www.pmel.noaa.gov/" TargetMode="External" /></Relationships>
</file>

<file path=word/_rels/footnotes.xml.rels><?xml version="1.0" encoding="UTF-8"?><Relationships xmlns="http://schemas.openxmlformats.org/package/2006/relationships"><Relationship Type="http://schemas.openxmlformats.org/officeDocument/2006/relationships/hyperlink" Id="rId140" Target="" TargetMode="External" /><Relationship Type="http://schemas.openxmlformats.org/officeDocument/2006/relationships/hyperlink" Id="rId132" Target="MarineBON.org" TargetMode="External" /><Relationship Type="http://schemas.openxmlformats.org/officeDocument/2006/relationships/hyperlink" Id="rId100" Target="MarineSpeciesMaps.org" TargetMode="External" /><Relationship Type="http://schemas.openxmlformats.org/officeDocument/2006/relationships/hyperlink" Id="rId25" Target="OBIS.org" TargetMode="External" /><Relationship Type="http://schemas.openxmlformats.org/officeDocument/2006/relationships/hyperlink" Id="rId84" Target="Species%20distribution%20modeling,%20calibration%20and%20evaluation,%20ensemble%20modeling" TargetMode="External" /><Relationship Type="http://schemas.openxmlformats.org/officeDocument/2006/relationships/hyperlink" Id="rId110" Target="http://dx.doi.org/10.1111/j.1472-4642.2010.00725.x" TargetMode="External" /><Relationship Type="http://schemas.openxmlformats.org/officeDocument/2006/relationships/hyperlink" Id="rId93" Target="https://apps-st.fisheries.noaa.gov/dismap/" TargetMode="External" /><Relationship Type="http://schemas.openxmlformats.org/officeDocument/2006/relationships/hyperlink" Id="rId24" Target="https://aquamaps.org/" TargetMode="External" /><Relationship Type="http://schemas.openxmlformats.org/officeDocument/2006/relationships/hyperlink" Id="rId54" Target="https://biomodhub.github.io/biomod2/" TargetMode="External" /><Relationship Type="http://schemas.openxmlformats.org/officeDocument/2006/relationships/hyperlink" Id="rId26" Target="https://cran.r-project.org/web/packages/dismo/vignettes/sdm.pdf" TargetMode="External" /><Relationship Type="http://schemas.openxmlformats.org/officeDocument/2006/relationships/hyperlink" Id="rId79" Target="https://cran.r-project.org/web/packages/eks/vignettes/tidysf_kde.html" TargetMode="External" /><Relationship Type="http://schemas.openxmlformats.org/officeDocument/2006/relationships/hyperlink" Id="rId86" Target="https://docs.xarray.dev/en/stable/" TargetMode="External" /><Relationship Type="http://schemas.openxmlformats.org/officeDocument/2006/relationships/hyperlink" Id="rId106" Target="https://doi.org/10.1016/j.ecoinf.2023.102147" TargetMode="External" /><Relationship Type="http://schemas.openxmlformats.org/officeDocument/2006/relationships/hyperlink" Id="rId122" Target="https://doi.org/10.1016/j.ecolmodel.2009.10.025" TargetMode="External" /><Relationship Type="http://schemas.openxmlformats.org/officeDocument/2006/relationships/hyperlink" Id="rId128" Target="https://doi.org/10.1016/j.marpol.2020.103927" TargetMode="External" /><Relationship Type="http://schemas.openxmlformats.org/officeDocument/2006/relationships/hyperlink" Id="rId112" Target="https://doi.org/10.1016/j.rse.2017.06.031" TargetMode="External" /><Relationship Type="http://schemas.openxmlformats.org/officeDocument/2006/relationships/hyperlink" Id="rId126" Target="https://doi.org/10.1038/nature09329" TargetMode="External" /><Relationship Type="http://schemas.openxmlformats.org/officeDocument/2006/relationships/hyperlink" Id="rId116" Target="https://doi.org/10.1038/nature11397" TargetMode="External" /><Relationship Type="http://schemas.openxmlformats.org/officeDocument/2006/relationships/hyperlink" Id="rId108" Target="https://doi.org/10.1146/annurev.ecolsys.110308.120159" TargetMode="External" /><Relationship Type="http://schemas.openxmlformats.org/officeDocument/2006/relationships/hyperlink" Id="rId118" Target="https://doi.org/10.3354/meps316285" TargetMode="External" /><Relationship Type="http://schemas.openxmlformats.org/officeDocument/2006/relationships/hyperlink" Id="rId29" Target="https://en.wikipedia.org/wiki/30_by_30" TargetMode="External" /><Relationship Type="http://schemas.openxmlformats.org/officeDocument/2006/relationships/hyperlink" Id="rId96" Target="https://fishglob.sites.ucsc.edu/" TargetMode="External" /><Relationship Type="http://schemas.openxmlformats.org/officeDocument/2006/relationships/hyperlink" Id="rId88" Target="https://github.com/google/Xee" TargetMode="External" /><Relationship Type="http://schemas.openxmlformats.org/officeDocument/2006/relationships/hyperlink" Id="rId37" Target="https://github.com/marinebon/MarineSDMs/issues/new/choose" TargetMode="External" /><Relationship Type="http://schemas.openxmlformats.org/officeDocument/2006/relationships/hyperlink" Id="rId135" Target="https://github.com/marinebon/aquamaps-downscaled/tree/main/sp-map" TargetMode="External" /><Relationship Type="http://schemas.openxmlformats.org/officeDocument/2006/relationships/hyperlink" Id="rId124" Target="https://github.com/raquamaps/aquamapsdata" TargetMode="External" /><Relationship Type="http://schemas.openxmlformats.org/officeDocument/2006/relationships/hyperlink" Id="rId89" Target="https://google.github.io/Xee/" TargetMode="External" /><Relationship Type="http://schemas.openxmlformats.org/officeDocument/2006/relationships/hyperlink" Id="rId36" Target="https://marinebon.github.io/MarineSDMs/MarineSDMs.docx" TargetMode="External" /><Relationship Type="http://schemas.openxmlformats.org/officeDocument/2006/relationships/hyperlink" Id="rId35" Target="https://marinebon.github.io/MarineSDMs/MarineSDMs.pdf" TargetMode="External" /><Relationship Type="http://schemas.openxmlformats.org/officeDocument/2006/relationships/hyperlink" Id="rId64" Target="https://marinebon.github.io/gmbi/articles/calc.html#assign-taxonomic-groups" TargetMode="External" /><Relationship Type="http://schemas.openxmlformats.org/officeDocument/2006/relationships/hyperlink" Id="rId94" Target="https://marinebon.org/" TargetMode="External" /><Relationship Type="http://schemas.openxmlformats.org/officeDocument/2006/relationships/hyperlink" Id="rId97" Target="https://mgel.env.duke.edu/" TargetMode="External" /><Relationship Type="http://schemas.openxmlformats.org/officeDocument/2006/relationships/hyperlink" Id="rId95" Target="https://obis.org/" TargetMode="External" /><Relationship Type="http://schemas.openxmlformats.org/officeDocument/2006/relationships/hyperlink" Id="rId27" Target="https://rspatial.org/raster/sdm/" TargetMode="External" /><Relationship Type="http://schemas.openxmlformats.org/officeDocument/2006/relationships/hyperlink" Id="rId28" Target="https://rspatial.org/sdm/" TargetMode="External" /><Relationship Type="http://schemas.openxmlformats.org/officeDocument/2006/relationships/hyperlink" Id="rId134" Target="https://shiny.marinebon.app/am-fine/" TargetMode="External" /><Relationship Type="http://schemas.openxmlformats.org/officeDocument/2006/relationships/hyperlink" Id="rId92" Target="https://www.aquamaps.org/" TargetMode="External" /><Relationship Type="http://schemas.openxmlformats.org/officeDocument/2006/relationships/hyperlink" Id="rId120" Target="https://www.frontiersin.org/articles/10.3389/fmars.2019.00588" TargetMode="External" /><Relationship Type="http://schemas.openxmlformats.org/officeDocument/2006/relationships/hyperlink" Id="rId21" Target="https://www.iucnredlist.org/resources/spatial-data-download" TargetMode="External" /><Relationship Type="http://schemas.openxmlformats.org/officeDocument/2006/relationships/hyperlink" Id="rId114" Target="https://www.jstor.org/stable/43924357" TargetMode="External" /><Relationship Type="http://schemas.openxmlformats.org/officeDocument/2006/relationships/hyperlink" Id="rId68" Target="https://www.natureserve.org/conservation-status-assessment" TargetMode="External" /><Relationship Type="http://schemas.openxmlformats.org/officeDocument/2006/relationships/hyperlink" Id="rId30" Target="https://www.noaa.gov/america-the-beautiful" TargetMode="External" /><Relationship Type="http://schemas.openxmlformats.org/officeDocument/2006/relationships/hyperlink" Id="rId98" Target="https://www.pmel.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MarineSDMs</dc:title>
  <dc:creator>Ben Best</dc:creator>
  <cp:keywords/>
  <dcterms:created xsi:type="dcterms:W3CDTF">2023-11-21T18:00:59Z</dcterms:created>
  <dcterms:modified xsi:type="dcterms:W3CDTF">2023-11-21T18:00:59Z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2023-11-21</vt:lpwstr>
  </property>
  <property fmtid="{D5CDD505-2E9C-101B-9397-08002B2CF9AE}" pid="9" name="date-format">
    <vt:lpwstr>YYYY-MM-DD</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ghtbox">
    <vt:lpwstr>auto</vt:lpwstr>
  </property>
  <property fmtid="{D5CDD505-2E9C-101B-9397-08002B2CF9AE}" pid="16" name="subtitle">
    <vt:lpwstr>Marine Species Distribution Models</vt:lpwstr>
  </property>
  <property fmtid="{D5CDD505-2E9C-101B-9397-08002B2CF9AE}" pid="17" name="toc-title">
    <vt:lpwstr>Table of contents</vt:lpwstr>
  </property>
</Properties>
</file>