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05.png" ContentType="image/png"/>
  <Override PartName="/word/media/rId223.png" ContentType="image/png"/>
  <Override PartName="/word/media/rId217.png" ContentType="image/png"/>
  <Override PartName="/word/media/rId85.png" ContentType="image/png"/>
  <Override PartName="/word/media/rId99.png" ContentType="image/png"/>
  <Override PartName="/word/media/rId57.png" ContentType="image/png"/>
  <Override PartName="/word/media/rId95.png" ContentType="image/png"/>
  <Override PartName="/word/media/rId211.png" ContentType="image/png"/>
  <Override PartName="/word/media/rId32.png" ContentType="image/png"/>
  <Override PartName="/word/media/rId7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2023-12-05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5"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w:t>
      </w:r>
      <w:r>
        <w:t xml:space="preserve"> </w:t>
      </w:r>
      <w:r>
        <w:t xml:space="preserve">(Carroll, Noss, and Stein 2022)</w:t>
      </w:r>
      <w:r>
        <w:t xml:space="preser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Pr>
      <w:tblGrid>
        <w:gridCol w:w="7920"/>
      </w:tblGrid>
      <w:tr>
        <w:tc>
          <w:tcPr/>
          <w:bookmarkStart w:id="35" w:name="fig-process"/>
          <w:p>
            <w:pPr>
              <w:jc w:val="center"/>
            </w:pPr>
            <w:r>
              <w:drawing>
                <wp:inline>
                  <wp:extent cx="5334000" cy="6526650"/>
                  <wp:effectExtent b="0" l="0" r="0" t="0"/>
                  <wp:docPr descr="" title="" id="33" name="Picture"/>
                  <a:graphic>
                    <a:graphicData uri="http://schemas.openxmlformats.org/drawingml/2006/picture">
                      <pic:pic>
                        <pic:nvPicPr>
                          <pic:cNvPr descr="index_files/figure-docx/mermaid-figure-1.png" id="34" name="Picture"/>
                          <pic:cNvPicPr>
                            <a:picLocks noChangeArrowheads="1" noChangeAspect="1"/>
                          </pic:cNvPicPr>
                        </pic:nvPicPr>
                        <pic:blipFill>
                          <a:blip r:embed="rId32"/>
                          <a:stretch>
                            <a:fillRect/>
                          </a:stretch>
                        </pic:blipFill>
                        <pic:spPr bwMode="auto">
                          <a:xfrm>
                            <a:off x="0" y="0"/>
                            <a:ext cx="5334000" cy="6526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3" w:name="contribute"/>
    <w:p>
      <w:pPr>
        <w:pStyle w:val="Heading2"/>
      </w:pPr>
      <w:r>
        <w:t xml:space="preserve">1.5 Contribute</w:t>
      </w:r>
    </w:p>
    <w:p>
      <w:pPr>
        <w:pStyle w:val="FirstParagraph"/>
      </w:pPr>
      <w:r>
        <w:t xml:space="preserve">We very much welcome your feedback, contributions and collaboration. As soon as you contribute, we will add you to to the authors list. Here are a few ways to contribute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w:t>
      </w:r>
    </w:p>
    <w:p>
      <w:pPr>
        <w:numPr>
          <w:ilvl w:val="0"/>
          <w:numId w:val="1004"/>
        </w:numPr>
      </w:pPr>
      <w:r>
        <w:t xml:space="preserve">If you are a regular contributor, you can be added to the collaborators of this repository to push changes directly (without needing a pull request).</w:t>
      </w:r>
    </w:p>
    <w:bookmarkEnd w:id="43"/>
    <w:bookmarkStart w:id="44"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4"/>
    <w:bookmarkEnd w:id="45"/>
    <w:bookmarkStart w:id="46"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6"/>
    <w:bookmarkStart w:id="55" w:name="prepare-2"/>
    <w:p>
      <w:pPr>
        <w:pStyle w:val="Heading1"/>
      </w:pPr>
      <w:r>
        <w:t xml:space="preserve">3. Prepare</w:t>
      </w:r>
    </w:p>
    <w:tbl>
      <w:tblPr>
        <w:tblStyle w:val="Table"/>
        <w:tblW w:type="pct" w:w="5000"/>
        <w:tblLook w:firstRow="0" w:lastRow="0" w:firstColumn="0" w:lastColumn="0" w:noHBand="0" w:noVBand="0" w:val="0000"/>
        <w:jc w:val="start"/>
      </w:tblPr>
      <w:tblGrid>
        <w:gridCol w:w="7920"/>
      </w:tblGrid>
      <w:tr>
        <w:tc>
          <w:tcPr/>
          <w:bookmarkStart w:id="50" w:name="fig-prep"/>
          <w:p>
            <w:pPr>
              <w:jc w:val="center"/>
            </w:pPr>
            <w:r>
              <w:drawing>
                <wp:inline>
                  <wp:extent cx="5334000" cy="2252133"/>
                  <wp:effectExtent b="0" l="0" r="0" t="0"/>
                  <wp:docPr descr="" title="" id="48" name="Picture"/>
                  <a:graphic>
                    <a:graphicData uri="http://schemas.openxmlformats.org/drawingml/2006/picture">
                      <pic:pic>
                        <pic:nvPicPr>
                          <pic:cNvPr descr="prep_files/figure-docx/mermaid-figure-1.png" id="49" name="Picture"/>
                          <pic:cNvPicPr>
                            <a:picLocks noChangeArrowheads="1" noChangeAspect="1"/>
                          </pic:cNvPicPr>
                        </pic:nvPicPr>
                        <pic:blipFill>
                          <a:blip r:embed="rId47"/>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0"/>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4" w:name="environmental-predictors"/>
    <w:p>
      <w:pPr>
        <w:pStyle w:val="Heading2"/>
      </w:pPr>
      <w:r>
        <w:t xml:space="preserve">3.1 Environmental Predictors</w:t>
      </w:r>
    </w:p>
    <w:bookmarkStart w:id="51"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1"/>
    <w:bookmarkStart w:id="52"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2"/>
    <w:bookmarkStart w:id="53"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3"/>
    <w:bookmarkEnd w:id="54"/>
    <w:bookmarkEnd w:id="55"/>
    <w:bookmarkStart w:id="63"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Pr>
      <w:tblGrid>
        <w:gridCol w:w="7920"/>
      </w:tblGrid>
      <w:tr>
        <w:tc>
          <w:tcPr/>
          <w:bookmarkStart w:id="60" w:name="fig-eks"/>
          <w:p>
            <w:pPr>
              <w:jc w:val="center"/>
            </w:pPr>
            <w:r>
              <w:drawing>
                <wp:inline>
                  <wp:extent cx="4620126" cy="4620126"/>
                  <wp:effectExtent b="0" l="0" r="0" t="0"/>
                  <wp:docPr descr="" title="" id="58" name="Picture"/>
                  <a:graphic>
                    <a:graphicData uri="http://schemas.openxmlformats.org/drawingml/2006/picture">
                      <pic:pic>
                        <pic:nvPicPr>
                          <pic:cNvPr descr="figures/software/eks.png" id="59"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0"/>
        </w:tc>
      </w:tr>
    </w:tbl>
    <w:bookmarkStart w:id="61" w:name="fetch-obis"/>
    <w:p>
      <w:pPr>
        <w:pStyle w:val="Heading2"/>
      </w:pPr>
      <w:r>
        <w:t xml:space="preserve">4.1 Fetch OBIS</w:t>
      </w:r>
    </w:p>
    <w:bookmarkEnd w:id="61"/>
    <w:bookmarkStart w:id="62" w:name="filter-occurrences"/>
    <w:p>
      <w:pPr>
        <w:pStyle w:val="Heading2"/>
      </w:pPr>
      <w:r>
        <w:t xml:space="preserve">4.2 Filter occurrences</w:t>
      </w:r>
    </w:p>
    <w:bookmarkEnd w:id="62"/>
    <w:bookmarkEnd w:id="63"/>
    <w:bookmarkStart w:id="68"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4">
        <w:r>
          <w:rPr>
            <w:rStyle w:val="Hyperlink"/>
          </w:rPr>
          <w:t xml:space="preserve">Pseudo-absences • biomod2</w:t>
        </w:r>
      </w:hyperlink>
    </w:p>
    <w:p>
      <w:pPr>
        <w:numPr>
          <w:ilvl w:val="1"/>
          <w:numId w:val="1015"/>
        </w:numPr>
        <w:pStyle w:val="Compact"/>
      </w:pPr>
      <w:r>
        <w:t xml:space="preserve">(Barbet-Massin et al. 2012)</w:t>
      </w:r>
    </w:p>
    <w:bookmarkStart w:id="65"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5"/>
    <w:bookmarkStart w:id="66"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6"/>
    <w:bookmarkStart w:id="67"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7"/>
    <w:bookmarkEnd w:id="68"/>
    <w:bookmarkStart w:id="73"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Environmental data are used to fit the model and predict distribution onto the seascape, e.g.</w:t>
      </w:r>
      <w:r>
        <w:t xml:space="preserve"> </w:t>
      </w:r>
      <w:hyperlink w:anchor="tbl-Roberts2016-env">
        <w:r>
          <w:rPr>
            <w:rStyle w:val="Hyperlink"/>
          </w:rPr>
          <w:t xml:space="preserve">Table 6.1</w:t>
        </w:r>
      </w:hyperlink>
      <w:r>
        <w:t xml:space="preserve">.</w:t>
      </w:r>
    </w:p>
    <w:p>
      <w:pPr>
        <w:pStyle w:val="SourceCode"/>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here, knitr, readr)</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(readr)</w:t>
      </w:r>
      <w:r>
        <w:br/>
      </w:r>
      <w:r>
        <w:br/>
      </w:r>
      <w:r>
        <w:rPr>
          <w:rStyle w:val="NormalTok"/>
        </w:rPr>
        <w:t xml:space="preserve">d </w:t>
      </w:r>
      <w:r>
        <w:rPr>
          <w:rStyle w:val="OtherTok"/>
        </w:rPr>
        <w:t xml:space="preserve">&lt;-</w:t>
      </w:r>
      <w:r>
        <w:rPr>
          <w:rStyle w:val="NormalTok"/>
        </w:rPr>
        <w:t xml:space="preserve"> </w:t>
      </w:r>
      <w:r>
        <w:rPr>
          <w:rStyle w:val="FunctionTok"/>
        </w:rPr>
        <w:t xml:space="preserve">read_csv</w:t>
      </w:r>
      <w:r>
        <w:rPr>
          <w:rStyle w:val="NormalTok"/>
        </w:rPr>
        <w:t xml:space="preserve">(</w:t>
      </w:r>
      <w:r>
        <w:br/>
      </w:r>
      <w:r>
        <w:rPr>
          <w:rStyle w:val="NormalTok"/>
        </w:rPr>
        <w:t xml:space="preserve">  </w:t>
      </w:r>
      <w:r>
        <w:rPr>
          <w:rStyle w:val="FunctionTok"/>
        </w:rPr>
        <w:t xml:space="preserve">here</w:t>
      </w:r>
      <w:r>
        <w:rPr>
          <w:rStyle w:val="NormalTok"/>
        </w:rPr>
        <w:t xml:space="preserve">(</w:t>
      </w:r>
      <w:r>
        <w:rPr>
          <w:rStyle w:val="StringTok"/>
        </w:rPr>
        <w:t xml:space="preserve">"data/Roberts-2016_env-predictors.csv"</w:t>
      </w:r>
      <w:r>
        <w:rPr>
          <w:rStyle w:val="NormalTok"/>
        </w:rPr>
        <w:t xml:space="preserve">),</w:t>
      </w:r>
      <w:r>
        <w:br/>
      </w:r>
      <w:r>
        <w:rPr>
          <w:rStyle w:val="NormalTok"/>
        </w:rPr>
        <w:t xml:space="preserve">  </w:t>
      </w:r>
      <w:r>
        <w:rPr>
          <w:rStyle w:val="AttributeTok"/>
        </w:rPr>
        <w:t xml:space="preserve">show_col_types =</w:t>
      </w:r>
      <w:r>
        <w:rPr>
          <w:rStyle w:val="NormalTok"/>
        </w:rPr>
        <w:t xml:space="preserve"> F)</w:t>
      </w:r>
      <w:r>
        <w:br/>
      </w:r>
      <w:r>
        <w:br/>
      </w:r>
      <w:r>
        <w:rPr>
          <w:rStyle w:val="FunctionTok"/>
        </w:rPr>
        <w:t xml:space="preserve">options</w:t>
      </w:r>
      <w:r>
        <w:rPr>
          <w:rStyle w:val="NormalTok"/>
        </w:rPr>
        <w:t xml:space="preserve">(</w:t>
      </w:r>
      <w:r>
        <w:rPr>
          <w:rStyle w:val="AttributeTok"/>
        </w:rPr>
        <w:t xml:space="preserve">knitr.kable.NA =</w:t>
      </w:r>
      <w:r>
        <w:rPr>
          <w:rStyle w:val="NormalTok"/>
        </w:rPr>
        <w:t xml:space="preserve"> </w:t>
      </w:r>
      <w:r>
        <w:rPr>
          <w:rStyle w:val="StringTok"/>
        </w:rPr>
        <w:t xml:space="preserve">''</w:t>
      </w:r>
      <w:r>
        <w:rPr>
          <w:rStyle w:val="NormalTok"/>
        </w:rPr>
        <w:t xml:space="preserve">)</w:t>
      </w:r>
      <w:r>
        <w:br/>
      </w:r>
      <w:r>
        <w:rPr>
          <w:rStyle w:val="FunctionTok"/>
        </w:rPr>
        <w:t xml:space="preserve">kable</w:t>
      </w:r>
      <w:r>
        <w:rPr>
          <w:rStyle w:val="NormalTok"/>
        </w:rPr>
        <w:t xml:space="preserve">(d, </w:t>
      </w:r>
      <w:r>
        <w:rPr>
          <w:rStyle w:val="AttributeTok"/>
        </w:rPr>
        <w:t xml:space="preserve">format=</w:t>
      </w:r>
      <w:r>
        <w:rPr>
          <w:rStyle w:val="StringTok"/>
        </w:rPr>
        <w:t xml:space="preserve">"pipe"</w:t>
      </w:r>
      <w:r>
        <w:rPr>
          <w:rStyle w:val="NormalTok"/>
        </w:rPr>
        <w:t xml:space="preserve">)</w:t>
      </w:r>
    </w:p>
    <w:bookmarkStart w:id="69" w:name="tbl-Roberts2016-env"/>
    <w:p>
      <w:pPr>
        <w:pStyle w:val="TableCaption"/>
      </w:pPr>
      <w:r>
        <w:t xml:space="preserve">Table 6.1: Example of environmental predictors from Roberts et al.</w:t>
      </w:r>
      <w:r>
        <w:t xml:space="preserve"> </w:t>
      </w:r>
      <w:r>
        <w:t xml:space="preserve">(2016)</w:t>
      </w:r>
      <w:r>
        <w:t xml:space="preserve">.</w:t>
      </w:r>
    </w:p>
    <w:tbl>
      <w:tblPr>
        <w:tblStyle w:val="Table"/>
        <w:tblW w:type="pct" w:w="5000"/>
        <w:tblLook w:firstRow="1" w:lastRow="0" w:firstColumn="0" w:lastColumn="0" w:noHBand="0" w:noVBand="0" w:val="0020"/>
        <w:jc w:val="start"/>
        <w:tblCaption w:val="Table 6.1: Example of environmental predictors from Roberts et al. (2016)."/>
      </w:tblPr>
      <w:tblGrid>
        <w:gridCol w:w="1141"/>
        <w:gridCol w:w="326"/>
        <w:gridCol w:w="256"/>
        <w:gridCol w:w="6196"/>
      </w:tblGrid>
      <w:tr>
        <w:trPr>
          <w:tblHeader w:val="true"/>
        </w:trPr>
        <w:tc>
          <w:tcPr/>
          <w:p>
            <w:pPr>
              <w:pStyle w:val="Compact"/>
              <w:jc w:val="left"/>
            </w:pPr>
            <w:r>
              <w:rPr>
                <w:bCs/>
                <w:b/>
              </w:rPr>
              <w:t xml:space="preserve">Type</w:t>
            </w:r>
            <w:r>
              <w:t xml:space="preserve"> </w:t>
            </w:r>
            <w:r>
              <w:t xml:space="preserve">/</w:t>
            </w:r>
            <w:r>
              <w:t xml:space="preserve">Covariates</w:t>
            </w:r>
          </w:p>
        </w:tc>
        <w:tc>
          <w:tcPr/>
          <w:p>
            <w:pPr>
              <w:pStyle w:val="Compact"/>
              <w:jc w:val="left"/>
            </w:pPr>
            <w:r>
              <w:t xml:space="preserve">Resolution</w:t>
            </w:r>
          </w:p>
        </w:tc>
        <w:tc>
          <w:tcPr/>
          <w:p>
            <w:pPr>
              <w:pStyle w:val="Compact"/>
              <w:jc w:val="left"/>
            </w:pPr>
            <w:r>
              <w:t xml:space="preserve">Time range</w:t>
            </w:r>
          </w:p>
        </w:tc>
        <w:tc>
          <w:tcPr/>
          <w:p>
            <w:pPr>
              <w:pStyle w:val="Compact"/>
              <w:jc w:val="left"/>
            </w:pPr>
            <w:r>
              <w:t xml:space="preserve">Description</w:t>
            </w:r>
          </w:p>
        </w:tc>
      </w:tr>
      <w:tr>
        <w:tc>
          <w:tcPr/>
          <w:p>
            <w:pPr>
              <w:pStyle w:val="Compact"/>
              <w:jc w:val="left"/>
            </w:pPr>
            <w:r>
              <w:rPr>
                <w:bCs/>
                <w:b/>
              </w:rPr>
              <w:t xml:space="preserve">Physiographic</w:t>
            </w:r>
          </w:p>
        </w:tc>
        <w:tc>
          <w:tcPr/>
          <w:p>
            <w:pPr>
              <w:pStyle w:val="Compact"/>
            </w:pPr>
          </w:p>
        </w:tc>
        <w:tc>
          <w:tcPr/>
          <w:p>
            <w:pPr>
              <w:pStyle w:val="Compact"/>
            </w:pPr>
          </w:p>
        </w:tc>
        <w:tc>
          <w:tcPr/>
          <w:p>
            <w:pPr>
              <w:pStyle w:val="Compact"/>
            </w:pPr>
          </w:p>
        </w:tc>
      </w:tr>
      <w:tr>
        <w:tc>
          <w:tcPr/>
          <w:p>
            <w:pPr>
              <w:pStyle w:val="Compact"/>
              <w:jc w:val="left"/>
            </w:pPr>
            <w:r>
              <w:t xml:space="preserve">Depth, Slope</w:t>
            </w:r>
          </w:p>
        </w:tc>
        <w:tc>
          <w:tcPr/>
          <w:p>
            <w:pPr>
              <w:pStyle w:val="Compact"/>
              <w:jc w:val="left"/>
            </w:pPr>
            <w:r>
              <w:t xml:space="preserve">30 arc sec</w:t>
            </w:r>
          </w:p>
        </w:tc>
        <w:tc>
          <w:tcPr/>
          <w:p>
            <w:pPr>
              <w:pStyle w:val="Compact"/>
            </w:pPr>
          </w:p>
        </w:tc>
        <w:tc>
          <w:tcPr/>
          <w:p>
            <w:pPr>
              <w:pStyle w:val="Compact"/>
              <w:jc w:val="left"/>
            </w:pPr>
            <w:r>
              <w:t xml:space="preserve">Seafloor depth and slope, derived from SRTM30-PLUS global bathymetry20</w:t>
            </w:r>
          </w:p>
        </w:tc>
      </w:tr>
      <w:tr>
        <w:tc>
          <w:tcPr/>
          <w:p>
            <w:pPr>
              <w:pStyle w:val="Compact"/>
              <w:jc w:val="left"/>
            </w:pPr>
            <w:r>
              <w:t xml:space="preserve">DistToShore, DistTo125m, DistTo300m, DistTo1500m</w:t>
            </w:r>
          </w:p>
        </w:tc>
        <w:tc>
          <w:tcPr/>
          <w:p>
            <w:pPr>
              <w:pStyle w:val="Compact"/>
              <w:jc w:val="left"/>
            </w:pPr>
            <w:r>
              <w:t xml:space="preserve">30 arc sec</w:t>
            </w:r>
          </w:p>
        </w:tc>
        <w:tc>
          <w:tcPr/>
          <w:p>
            <w:pPr>
              <w:pStyle w:val="Compact"/>
            </w:pPr>
          </w:p>
        </w:tc>
        <w:tc>
          <w:tcPr/>
          <w:p>
            <w:pPr>
              <w:pStyle w:val="Compact"/>
              <w:jc w:val="left"/>
            </w:pPr>
            <w:r>
              <w:t xml:space="preserve">Distance to the closest shoreline, excluding Bermuda and Sable Island, and various ecologically-relevant isobaths20</w:t>
            </w:r>
          </w:p>
        </w:tc>
      </w:tr>
      <w:tr>
        <w:tc>
          <w:tcPr/>
          <w:p>
            <w:pPr>
              <w:pStyle w:val="Compact"/>
              <w:jc w:val="left"/>
            </w:pPr>
            <w:r>
              <w:t xml:space="preserve">DistToCanyon, DistToCanyon OrSeamount</w:t>
            </w:r>
          </w:p>
        </w:tc>
        <w:tc>
          <w:tcPr/>
          <w:p>
            <w:pPr>
              <w:pStyle w:val="Compact"/>
              <w:jc w:val="left"/>
            </w:pPr>
            <w:r>
              <w:t xml:space="preserve">30 arc sec</w:t>
            </w:r>
          </w:p>
        </w:tc>
        <w:tc>
          <w:tcPr/>
          <w:p>
            <w:pPr>
              <w:pStyle w:val="Compact"/>
            </w:pPr>
          </w:p>
        </w:tc>
        <w:tc>
          <w:tcPr/>
          <w:p>
            <w:pPr>
              <w:pStyle w:val="Compact"/>
              <w:jc w:val="left"/>
            </w:pPr>
            <w:r>
              <w:t xml:space="preserve">Distance to the closest submarine canyon, and to the closest canyon or seamount21</w:t>
            </w:r>
          </w:p>
        </w:tc>
      </w:tr>
      <w:tr>
        <w:tc>
          <w:tcPr/>
          <w:p>
            <w:pPr>
              <w:pStyle w:val="Compact"/>
              <w:jc w:val="left"/>
            </w:pPr>
            <w:r>
              <w:rPr>
                <w:bCs/>
                <w:b/>
              </w:rPr>
              <w:t xml:space="preserve">SST &amp; Winds</w:t>
            </w:r>
          </w:p>
        </w:tc>
        <w:tc>
          <w:tcPr/>
          <w:p>
            <w:pPr>
              <w:pStyle w:val="Compact"/>
            </w:pPr>
          </w:p>
        </w:tc>
        <w:tc>
          <w:tcPr/>
          <w:p>
            <w:pPr>
              <w:pStyle w:val="Compact"/>
            </w:pPr>
          </w:p>
        </w:tc>
        <w:tc>
          <w:tcPr/>
          <w:p>
            <w:pPr>
              <w:pStyle w:val="Compact"/>
            </w:pPr>
          </w:p>
        </w:tc>
      </w:tr>
      <w:tr>
        <w:tc>
          <w:tcPr/>
          <w:p>
            <w:pPr>
              <w:pStyle w:val="Compact"/>
              <w:jc w:val="left"/>
            </w:pPr>
            <w:r>
              <w:t xml:space="preserve">SST, DistToFront</w:t>
            </w:r>
          </w:p>
        </w:tc>
        <w:tc>
          <w:tcPr/>
          <w:p>
            <w:pPr>
              <w:pStyle w:val="Compact"/>
              <w:jc w:val="left"/>
            </w:pPr>
            <w:r>
              <w:t xml:space="preserve">0.2°, daily</w:t>
            </w:r>
          </w:p>
        </w:tc>
        <w:tc>
          <w:tcPr/>
          <w:p>
            <w:pPr>
              <w:pStyle w:val="Compact"/>
              <w:jc w:val="left"/>
            </w:pPr>
            <w:r>
              <w:t xml:space="preserve">1991-2014</w:t>
            </w:r>
          </w:p>
        </w:tc>
        <w:tc>
          <w:tcPr/>
          <w:p>
            <w:pPr>
              <w:pStyle w:val="Compact"/>
              <w:jc w:val="left"/>
            </w:pPr>
            <w:r>
              <w:t xml:space="preserve">Foundation sea surface temperature (SST), from GHRSST Level 4 CMC SST22, and distance to the closest SST front identified with the Canny edge detection algorithm23</w:t>
            </w:r>
          </w:p>
        </w:tc>
      </w:tr>
      <w:tr>
        <w:tc>
          <w:tcPr/>
          <w:p>
            <w:pPr>
              <w:pStyle w:val="Compact"/>
              <w:jc w:val="left"/>
            </w:pPr>
            <w:r>
              <w:t xml:space="preserve">WindSpeed</w:t>
            </w:r>
          </w:p>
        </w:tc>
        <w:tc>
          <w:tcPr/>
          <w:p>
            <w:pPr>
              <w:pStyle w:val="Compact"/>
              <w:jc w:val="left"/>
            </w:pPr>
            <w:r>
              <w:t xml:space="preserve">0.25°, daily</w:t>
            </w:r>
          </w:p>
        </w:tc>
        <w:tc>
          <w:tcPr/>
          <w:p>
            <w:pPr>
              <w:pStyle w:val="Compact"/>
              <w:jc w:val="left"/>
            </w:pPr>
            <w:r>
              <w:t xml:space="preserve">1991-2014</w:t>
            </w:r>
          </w:p>
        </w:tc>
        <w:tc>
          <w:tcPr/>
          <w:p>
            <w:pPr>
              <w:pStyle w:val="Compact"/>
              <w:jc w:val="left"/>
            </w:pPr>
            <w:r>
              <w:t xml:space="preserve">30-day running mean of NOAA NCDC 1/4° Blended Sea Winds24</w:t>
            </w:r>
          </w:p>
        </w:tc>
      </w:tr>
      <w:tr>
        <w:tc>
          <w:tcPr/>
          <w:p>
            <w:pPr>
              <w:pStyle w:val="Compact"/>
              <w:jc w:val="left"/>
            </w:pPr>
            <w:r>
              <w:rPr>
                <w:bCs/>
                <w:b/>
              </w:rPr>
              <w:t xml:space="preserve">Currents</w:t>
            </w:r>
          </w:p>
        </w:tc>
        <w:tc>
          <w:tcPr/>
          <w:p>
            <w:pPr>
              <w:pStyle w:val="Compact"/>
            </w:pPr>
          </w:p>
        </w:tc>
        <w:tc>
          <w:tcPr/>
          <w:p>
            <w:pPr>
              <w:pStyle w:val="Compact"/>
            </w:pPr>
          </w:p>
        </w:tc>
        <w:tc>
          <w:tcPr/>
          <w:p>
            <w:pPr>
              <w:pStyle w:val="Compact"/>
            </w:pPr>
          </w:p>
        </w:tc>
      </w:tr>
      <w:tr>
        <w:tc>
          <w:tcPr/>
          <w:p>
            <w:pPr>
              <w:pStyle w:val="Compact"/>
              <w:jc w:val="left"/>
            </w:pPr>
            <w:r>
              <w:t xml:space="preserve">TKE, EKE</w:t>
            </w:r>
          </w:p>
        </w:tc>
        <w:tc>
          <w:tcPr/>
          <w:p>
            <w:pPr>
              <w:pStyle w:val="Compact"/>
              <w:jc w:val="left"/>
            </w:pPr>
            <w:r>
              <w:t xml:space="preserve">0.25°, daily</w:t>
            </w:r>
          </w:p>
        </w:tc>
        <w:tc>
          <w:tcPr/>
          <w:p>
            <w:pPr>
              <w:pStyle w:val="Compact"/>
              <w:jc w:val="left"/>
            </w:pPr>
            <w:r>
              <w:t xml:space="preserve">1993-2013</w:t>
            </w:r>
          </w:p>
        </w:tc>
        <w:tc>
          <w:tcPr/>
          <w:p>
            <w:pPr>
              <w:pStyle w:val="Compact"/>
              <w:jc w:val="left"/>
            </w:pPr>
            <w:r>
              <w:t xml:space="preserve">Total kinetic energy (TKE) and eddy kinetic energy (EKE), from Aviso 1/4° DT-MADT geostrophic currents</w:t>
            </w:r>
          </w:p>
        </w:tc>
      </w:tr>
      <w:tr>
        <w:tc>
          <w:tcPr/>
          <w:p>
            <w:pPr>
              <w:pStyle w:val="Compact"/>
              <w:jc w:val="left"/>
            </w:pPr>
            <w:r>
              <w:t xml:space="preserve">DistToEddy, DistToAEddy, DistToCEddy</w:t>
            </w:r>
          </w:p>
        </w:tc>
        <w:tc>
          <w:tcPr/>
          <w:p>
            <w:pPr>
              <w:pStyle w:val="Compact"/>
              <w:jc w:val="left"/>
            </w:pPr>
            <w:r>
              <w:t xml:space="preserve">0.25°, weekly</w:t>
            </w:r>
          </w:p>
        </w:tc>
        <w:tc>
          <w:tcPr/>
          <w:p>
            <w:pPr>
              <w:pStyle w:val="Compact"/>
              <w:jc w:val="left"/>
            </w:pPr>
            <w:r>
              <w:t xml:space="preserve">1993-2013</w:t>
            </w:r>
          </w:p>
        </w:tc>
        <w:tc>
          <w:tcPr/>
          <w:p>
            <w:pPr>
              <w:pStyle w:val="Compact"/>
              <w:jc w:val="left"/>
            </w:pPr>
            <w:r>
              <w:t xml:space="preserve">Distance to the ring of the closest geostrophic eddy having any (DistToEddy), anticyclonic (DistToAEddy), or cyclonic (DistToCEddy) polarity, from Aviso 1/4° DT-MADT using a revision of the Chelton et al. algorithm25; we tested eddies at least 9, 4, and 0 weeks old</w:t>
            </w:r>
          </w:p>
        </w:tc>
      </w:tr>
      <w:tr>
        <w:tc>
          <w:tcPr/>
          <w:p>
            <w:pPr>
              <w:pStyle w:val="Compact"/>
              <w:jc w:val="left"/>
            </w:pPr>
            <w:r>
              <w:rPr>
                <w:bCs/>
                <w:b/>
              </w:rPr>
              <w:t xml:space="preserve">Biological</w:t>
            </w:r>
          </w:p>
        </w:tc>
        <w:tc>
          <w:tcPr/>
          <w:p>
            <w:pPr>
              <w:pStyle w:val="Compact"/>
            </w:pPr>
          </w:p>
        </w:tc>
        <w:tc>
          <w:tcPr/>
          <w:p>
            <w:pPr>
              <w:pStyle w:val="Compact"/>
            </w:pPr>
          </w:p>
        </w:tc>
        <w:tc>
          <w:tcPr/>
          <w:p>
            <w:pPr>
              <w:pStyle w:val="Compact"/>
            </w:pPr>
          </w:p>
        </w:tc>
      </w:tr>
      <w:tr>
        <w:tc>
          <w:tcPr/>
          <w:p>
            <w:pPr>
              <w:pStyle w:val="Compact"/>
              <w:jc w:val="left"/>
            </w:pPr>
            <w:r>
              <w:t xml:space="preserve">Chl</w:t>
            </w:r>
          </w:p>
        </w:tc>
        <w:tc>
          <w:tcPr/>
          <w:p>
            <w:pPr>
              <w:pStyle w:val="Compact"/>
              <w:jc w:val="left"/>
            </w:pPr>
            <w:r>
              <w:t xml:space="preserve">9 km, daily</w:t>
            </w:r>
          </w:p>
        </w:tc>
        <w:tc>
          <w:tcPr/>
          <w:p>
            <w:pPr>
              <w:pStyle w:val="Compact"/>
              <w:jc w:val="left"/>
            </w:pPr>
            <w:r>
              <w:t xml:space="preserve">1997-2014</w:t>
            </w:r>
          </w:p>
        </w:tc>
        <w:tc>
          <w:tcPr/>
          <w:p>
            <w:pPr>
              <w:pStyle w:val="Compact"/>
              <w:jc w:val="left"/>
            </w:pPr>
            <w:r>
              <w:t xml:space="preserve">GSM merged SeaWiFS/Aqua/MERIS/VIIRS chlorophyll (Chl) a concentration26, smoothed with a 3D Gaussian smoother to reduce data loss to &lt; 10%</w:t>
            </w:r>
          </w:p>
        </w:tc>
      </w:tr>
      <w:tr>
        <w:tc>
          <w:tcPr/>
          <w:p>
            <w:pPr>
              <w:pStyle w:val="Compact"/>
              <w:jc w:val="left"/>
            </w:pPr>
            <w:r>
              <w:t xml:space="preserve">VGPM, CumVGPM45, CumVGPM90</w:t>
            </w:r>
          </w:p>
        </w:tc>
        <w:tc>
          <w:tcPr/>
          <w:p>
            <w:pPr>
              <w:pStyle w:val="Compact"/>
              <w:jc w:val="left"/>
            </w:pPr>
            <w:r>
              <w:t xml:space="preserve">9 km, 8 days</w:t>
            </w:r>
          </w:p>
        </w:tc>
        <w:tc>
          <w:tcPr/>
          <w:p>
            <w:pPr>
              <w:pStyle w:val="Compact"/>
              <w:jc w:val="left"/>
            </w:pPr>
            <w:r>
              <w:t xml:space="preserve">1997-2014</w:t>
            </w:r>
          </w:p>
        </w:tc>
        <w:tc>
          <w:tcPr/>
          <w:p>
            <w:pPr>
              <w:pStyle w:val="Compact"/>
              <w:jc w:val="left"/>
            </w:pPr>
            <w:r>
              <w:t xml:space="preserve">Net primary production (mg C m-2 day-1) derived from SeaWiFS and Aqua using the Vertically Generalized Production Model (VPGM)27; we tested the original 8 day estimates as well as 45 and 90 day running accumulations</w:t>
            </w:r>
          </w:p>
        </w:tc>
      </w:tr>
      <w:tr>
        <w:tc>
          <w:tcPr/>
          <w:p>
            <w:pPr>
              <w:pStyle w:val="Compact"/>
              <w:jc w:val="left"/>
            </w:pPr>
            <w:r>
              <w:t xml:space="preserve">PkPP, PkPB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Zooplankton production (PkPP; g m-2 day-1) and biomass (PkPB; g m-2) from the SEAPODYM ocean model28</w:t>
            </w:r>
          </w:p>
        </w:tc>
      </w:tr>
      <w:tr>
        <w:tc>
          <w:tcPr/>
          <w:p>
            <w:pPr>
              <w:pStyle w:val="Compact"/>
              <w:jc w:val="left"/>
            </w:pPr>
            <w:r>
              <w:t xml:space="preserve">EpiMnkPP, EpiMnkPB</w:t>
            </w:r>
          </w:p>
        </w:tc>
        <w:tc>
          <w:tcPr/>
          <w:p>
            <w:pPr>
              <w:pStyle w:val="Compact"/>
              <w:jc w:val="left"/>
            </w:pPr>
            <w:r>
              <w:t xml:space="preserve">0.25°, weekly</w:t>
            </w:r>
          </w:p>
        </w:tc>
        <w:tc>
          <w:tcPr/>
          <w:p>
            <w:pPr>
              <w:pStyle w:val="Compact"/>
              <w:jc w:val="left"/>
            </w:pPr>
            <w:r>
              <w:t xml:space="preserve">1997-2013</w:t>
            </w:r>
          </w:p>
        </w:tc>
        <w:tc>
          <w:tcPr/>
          <w:p>
            <w:pPr>
              <w:pStyle w:val="Compact"/>
              <w:jc w:val="left"/>
            </w:pPr>
            <w:r>
              <w:t xml:space="preserve">Epipelagic micronekton production (EpiMnkPP; g m-2 day-1) and biomass (EpiMnkPB; g m-2) from the SEAPODYM model(28)</w:t>
            </w:r>
          </w:p>
        </w:tc>
      </w:tr>
    </w:tbl>
    <w:bookmarkEnd w:id="69"/>
    <w:bookmarkStart w:id="70"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70"/>
    <w:bookmarkStart w:id="71"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1"/>
    <w:bookmarkStart w:id="72"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2"/>
    <w:bookmarkEnd w:id="73"/>
    <w:bookmarkStart w:id="78"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77" w:name="fig-model"/>
          <w:p>
            <w:pPr>
              <w:jc w:val="center"/>
            </w:pPr>
            <w:r>
              <w:drawing>
                <wp:inline>
                  <wp:extent cx="5334000" cy="1553307"/>
                  <wp:effectExtent b="0" l="0" r="0" t="0"/>
                  <wp:docPr descr="" title="" id="75" name="Picture"/>
                  <a:graphic>
                    <a:graphicData uri="http://schemas.openxmlformats.org/drawingml/2006/picture">
                      <pic:pic>
                        <pic:nvPicPr>
                          <pic:cNvPr descr="model_files/figure-docx/mermaid-figure-1.png" id="76" name="Picture"/>
                          <pic:cNvPicPr>
                            <a:picLocks noChangeArrowheads="1" noChangeAspect="1"/>
                          </pic:cNvPicPr>
                        </pic:nvPicPr>
                        <pic:blipFill>
                          <a:blip r:embed="rId74"/>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7"/>
        </w:tc>
      </w:tr>
    </w:tbl>
    <w:bookmarkEnd w:id="78"/>
    <w:bookmarkStart w:id="79"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79"/>
    <w:bookmarkStart w:id="81"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80">
        <w:r>
          <w:rPr>
            <w:rStyle w:val="Hyperlink"/>
          </w:rPr>
          <w:t xml:space="preserve">6 Available Models | The caret Package</w:t>
        </w:r>
      </w:hyperlink>
      <w:r>
        <w:t xml:space="preserve">.</w:t>
      </w:r>
    </w:p>
    <w:bookmarkEnd w:id="81"/>
    <w:bookmarkStart w:id="82"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2"/>
    <w:bookmarkStart w:id="83"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3"/>
    <w:bookmarkStart w:id="92"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bookmarkStart w:id="84" w:name="tbl-confusion-matrix"/>
    <w:p>
      <w:pPr>
        <w:pStyle w:val="TableCaption"/>
      </w:pPr>
      <w:r>
        <w:t xml:space="preserve">Table 12.1: Confusion matrix to understand predicted versus observed.</w:t>
      </w:r>
    </w:p>
    <w:tbl>
      <w:tblPr>
        <w:tblStyle w:val="Table"/>
        <w:tblW w:type="auto" w:w="0"/>
        <w:tblLook w:firstRow="0" w:lastRow="0" w:firstColumn="0" w:lastColumn="0" w:noHBand="0" w:noVBand="0" w:val="0000"/>
        <w:jc w:val="start"/>
        <w:tblCaption w:val="Table 12.1: Confusion matrix to understand predicted versus observed."/>
      </w:tblPr>
      <w:tblGrid>
        <w:gridCol w:w="1980"/>
        <w:gridCol w:w="1980"/>
        <w:gridCol w:w="1980"/>
        <w:gridCol w:w="1980"/>
      </w:tblGrid>
      <w:tr>
        <w:tc>
          <w:tcPr/>
          <w:p>
            <w:pPr>
              <w:pStyle w:val="Compact"/>
            </w:pPr>
          </w:p>
        </w:tc>
        <w:tc>
          <w:tcPr/>
          <w:p>
            <w:pPr>
              <w:pStyle w:val="Compact"/>
            </w:pPr>
          </w:p>
        </w:tc>
        <w:tc>
          <w:tcPr/>
          <w:p>
            <w:pPr>
              <w:pStyle w:val="Compact"/>
              <w:jc w:val="left"/>
            </w:pPr>
            <w:r>
              <w:t xml:space="preserve">Predicted</w:t>
            </w:r>
          </w:p>
        </w:tc>
        <w:tc>
          <w:tcPr/>
          <w:p>
            <w:pPr>
              <w:pStyle w:val="Compact"/>
            </w:pPr>
          </w:p>
        </w:tc>
      </w:tr>
      <w:tr>
        <w:tc>
          <w:tcPr/>
          <w:p>
            <w:pPr>
              <w:pStyle w:val="Compact"/>
            </w:pPr>
          </w:p>
        </w:tc>
        <w:tc>
          <w:tcPr/>
          <w:p>
            <w:pPr>
              <w:pStyle w:val="Compact"/>
            </w:pPr>
          </w:p>
        </w:tc>
        <w:tc>
          <w:tcPr/>
          <w:p>
            <w:pPr>
              <w:pStyle w:val="Compact"/>
              <w:jc w:val="left"/>
            </w:pPr>
            <w:r>
              <w:t xml:space="preserve">0 (absence)</w:t>
            </w:r>
          </w:p>
        </w:tc>
        <w:tc>
          <w:tcPr/>
          <w:p>
            <w:pPr>
              <w:pStyle w:val="Compact"/>
              <w:jc w:val="left"/>
            </w:pPr>
            <w:r>
              <w:t xml:space="preserve">1 (presence)</w:t>
            </w:r>
          </w:p>
        </w:tc>
      </w:tr>
      <w:tr>
        <w:tc>
          <w:tcPr/>
          <w:p>
            <w:pPr>
              <w:pStyle w:val="Compact"/>
              <w:jc w:val="left"/>
            </w:pPr>
            <w:r>
              <w:t xml:space="preserve">Observed</w:t>
            </w:r>
          </w:p>
        </w:tc>
        <w:tc>
          <w:tcPr/>
          <w:p>
            <w:pPr>
              <w:pStyle w:val="Compact"/>
              <w:jc w:val="left"/>
            </w:pPr>
            <w:r>
              <w:t xml:space="preserve">0 (absence)</w:t>
            </w:r>
          </w:p>
        </w:tc>
        <w:tc>
          <w:tcPr/>
          <w:p>
            <w:pPr>
              <w:pStyle w:val="Compact"/>
              <w:jc w:val="left"/>
            </w:pPr>
            <w:r>
              <w:t xml:space="preserve">True absence</w:t>
            </w:r>
          </w:p>
        </w:tc>
        <w:tc>
          <w:tcPr/>
          <w:p>
            <w:pPr>
              <w:pStyle w:val="Compact"/>
              <w:jc w:val="left"/>
            </w:pPr>
            <w:r>
              <w:t xml:space="preserve">False presence</w:t>
            </w:r>
          </w:p>
        </w:tc>
      </w:tr>
      <w:tr>
        <w:tc>
          <w:tcPr/>
          <w:p>
            <w:pPr>
              <w:pStyle w:val="Compact"/>
            </w:pPr>
          </w:p>
        </w:tc>
        <w:tc>
          <w:tcPr/>
          <w:p>
            <w:pPr>
              <w:pStyle w:val="Compact"/>
              <w:jc w:val="left"/>
            </w:pPr>
            <w:r>
              <w:t xml:space="preserve">1 (presence)</w:t>
            </w:r>
          </w:p>
        </w:tc>
        <w:tc>
          <w:tcPr/>
          <w:p>
            <w:pPr>
              <w:pStyle w:val="Compact"/>
              <w:jc w:val="left"/>
            </w:pPr>
            <w:r>
              <w:t xml:space="preserve">False absence</w:t>
            </w:r>
          </w:p>
        </w:tc>
        <w:tc>
          <w:tcPr/>
          <w:p>
            <w:pPr>
              <w:pStyle w:val="Compact"/>
              <w:jc w:val="left"/>
            </w:pPr>
            <w:r>
              <w:t xml:space="preserve">True presence</w:t>
            </w:r>
          </w:p>
        </w:tc>
      </w:tr>
    </w:tbl>
    <w:bookmarkEnd w:id="84"/>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89" w:name="fig-rocr"/>
          <w:p>
            <w:pPr>
              <w:jc w:val="center"/>
            </w:pPr>
            <w:r>
              <w:drawing>
                <wp:inline>
                  <wp:extent cx="4562475" cy="3819525"/>
                  <wp:effectExtent b="0" l="0" r="0" t="0"/>
                  <wp:docPr descr="" title="" id="86" name="Picture"/>
                  <a:graphic>
                    <a:graphicData uri="http://schemas.openxmlformats.org/drawingml/2006/picture">
                      <pic:pic>
                        <pic:nvPicPr>
                          <pic:cNvPr descr="figures/rocr.png" id="87" name="Picture"/>
                          <pic:cNvPicPr>
                            <a:picLocks noChangeArrowheads="1" noChangeAspect="1"/>
                          </pic:cNvPicPr>
                        </pic:nvPicPr>
                        <pic:blipFill>
                          <a:blip r:embed="rId85"/>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8">
              <w:r>
                <w:rPr>
                  <w:rStyle w:val="Hyperlink"/>
                </w:rPr>
                <w:t xml:space="preserve">ROCR: visualizing classifier performance in R</w:t>
              </w:r>
            </w:hyperlink>
          </w:p>
          <w:bookmarkEnd w:id="89"/>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1" w:name="more-resources"/>
    <w:p>
      <w:pPr>
        <w:pStyle w:val="Heading2"/>
      </w:pPr>
      <w:r>
        <w:t xml:space="preserve">12.1 More Resources</w:t>
      </w:r>
    </w:p>
    <w:p>
      <w:pPr>
        <w:numPr>
          <w:ilvl w:val="0"/>
          <w:numId w:val="1019"/>
        </w:numPr>
        <w:pStyle w:val="Compact"/>
      </w:pPr>
      <w:hyperlink r:id="rId90">
        <w:r>
          <w:rPr>
            <w:rStyle w:val="Hyperlink"/>
          </w:rPr>
          <w:t xml:space="preserve">Classification: ROC Curve and AUC | Machine Learning | Google for Developers</w:t>
        </w:r>
      </w:hyperlink>
    </w:p>
    <w:bookmarkEnd w:id="91"/>
    <w:bookmarkEnd w:id="92"/>
    <w:bookmarkStart w:id="93"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bookmarkEnd w:id="93"/>
    <w:bookmarkStart w:id="98" w:name="ensemble"/>
    <w:p>
      <w:pPr>
        <w:pStyle w:val="Heading1"/>
      </w:pPr>
      <w:r>
        <w:t xml:space="preserve">14. Ensemble</w:t>
      </w:r>
    </w:p>
    <w:p>
      <w:pPr>
        <w:numPr>
          <w:ilvl w:val="0"/>
          <w:numId w:val="1020"/>
        </w:numPr>
        <w:pStyle w:val="Compact"/>
      </w:pPr>
      <w:hyperlink r:id="rId94">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6" name="Picture"/>
            <a:graphic>
              <a:graphicData uri="http://schemas.openxmlformats.org/drawingml/2006/picture">
                <pic:pic>
                  <pic:nvPicPr>
                    <pic:cNvPr descr="https://biomodhub.github.io/biomod2/articles/pictures/SCHEMA_BIOMOD2_WORKFLOW_functions.png" id="97" name="Picture"/>
                    <pic:cNvPicPr>
                      <a:picLocks noChangeArrowheads="1" noChangeAspect="1"/>
                    </pic:cNvPicPr>
                  </pic:nvPicPr>
                  <pic:blipFill>
                    <a:blip r:embed="rId95"/>
                    <a:stretch>
                      <a:fillRect/>
                    </a:stretch>
                  </pic:blipFill>
                  <pic:spPr bwMode="auto">
                    <a:xfrm>
                      <a:off x="0" y="0"/>
                      <a:ext cx="5334000" cy="2075693"/>
                    </a:xfrm>
                    <a:prstGeom prst="rect">
                      <a:avLst/>
                    </a:prstGeom>
                    <a:noFill/>
                    <a:ln w="9525">
                      <a:noFill/>
                      <a:headEnd/>
                      <a:tailEnd/>
                    </a:ln>
                  </pic:spPr>
                </pic:pic>
              </a:graphicData>
            </a:graphic>
          </wp:inline>
        </w:drawing>
      </w:r>
    </w:p>
    <w:bookmarkEnd w:id="98"/>
    <w:bookmarkStart w:id="103" w:name="mosaic"/>
    <w:p>
      <w:pPr>
        <w:pStyle w:val="Heading1"/>
      </w:pPr>
      <w:r>
        <w:t xml:space="preserve">15. Mosaic</w:t>
      </w:r>
    </w:p>
    <w:tbl>
      <w:tblPr>
        <w:tblStyle w:val="Table"/>
        <w:tblW w:type="pct" w:w="5000"/>
        <w:tblLook w:firstRow="0" w:lastRow="0" w:firstColumn="0" w:lastColumn="0" w:noHBand="0" w:noVBand="0" w:val="0000"/>
        <w:jc w:val="start"/>
      </w:tblPr>
      <w:tblGrid>
        <w:gridCol w:w="7920"/>
      </w:tblGrid>
      <w:tr>
        <w:tc>
          <w:tcPr/>
          <w:bookmarkStart w:id="102" w:name="fig-sdm-response-hierarchy"/>
          <w:p>
            <w:pPr>
              <w:jc w:val="center"/>
            </w:pPr>
            <w:r>
              <w:drawing>
                <wp:inline>
                  <wp:extent cx="5334000" cy="1180475"/>
                  <wp:effectExtent b="0" l="0" r="0" t="0"/>
                  <wp:docPr descr="" title="" id="100" name="Picture"/>
                  <a:graphic>
                    <a:graphicData uri="http://schemas.openxmlformats.org/drawingml/2006/picture">
                      <pic:pic>
                        <pic:nvPicPr>
                          <pic:cNvPr descr="figures/sdm-response-hierarchy.png" id="101" name="Picture"/>
                          <pic:cNvPicPr>
                            <a:picLocks noChangeArrowheads="1" noChangeAspect="1"/>
                          </pic:cNvPicPr>
                        </pic:nvPicPr>
                        <pic:blipFill>
                          <a:blip r:embed="rId99"/>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2"/>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3"/>
    <w:bookmarkStart w:id="105"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4">
        <w:r>
          <w:rPr>
            <w:rStyle w:val="VerbatimChar"/>
          </w:rPr>
          <w:t xml:space="preserve">gmbi</w:t>
        </w:r>
      </w:hyperlink>
      <w:r>
        <w:t xml:space="preserve"> </w:t>
      </w:r>
      <w:r>
        <w:t xml:space="preserve">(global marine biodiversity indicators).</w:t>
      </w:r>
    </w:p>
    <w:bookmarkEnd w:id="105"/>
    <w:bookmarkStart w:id="116"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6"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6"/>
    <w:bookmarkStart w:id="107"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7"/>
    <w:bookmarkStart w:id="109"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8">
        <w:r>
          <w:rPr>
            <w:rStyle w:val="Hyperlink"/>
          </w:rPr>
          <w:t xml:space="preserve">Conservation Status Ranks</w:t>
        </w:r>
      </w:hyperlink>
      <w:r>
        <w:t xml:space="preserve"> </w:t>
      </w:r>
      <w:r>
        <w:t xml:space="preserve">for the U.S.</w:t>
      </w:r>
    </w:p>
    <w:bookmarkEnd w:id="109"/>
    <w:bookmarkStart w:id="110" w:name="functional-importance"/>
    <w:p>
      <w:pPr>
        <w:pStyle w:val="Heading2"/>
      </w:pPr>
      <w:r>
        <w:t xml:space="preserve">17.4 Functional Importance</w:t>
      </w:r>
    </w:p>
    <w:bookmarkEnd w:id="110"/>
    <w:bookmarkStart w:id="111"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1"/>
    <w:bookmarkStart w:id="112" w:name="phylogenetic-uniqueness"/>
    <w:p>
      <w:pPr>
        <w:pStyle w:val="Heading2"/>
      </w:pPr>
      <w:r>
        <w:t xml:space="preserve">17.6 Phylogenetic Uniqueness</w:t>
      </w:r>
    </w:p>
    <w:bookmarkEnd w:id="112"/>
    <w:bookmarkStart w:id="113" w:name="richness"/>
    <w:p>
      <w:pPr>
        <w:pStyle w:val="Heading2"/>
      </w:pPr>
      <w:r>
        <w:t xml:space="preserve">17.7 Richness</w:t>
      </w:r>
    </w:p>
    <w:bookmarkEnd w:id="113"/>
    <w:bookmarkStart w:id="114"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4"/>
    <w:bookmarkStart w:id="115" w:name="trophic-index"/>
    <w:p>
      <w:pPr>
        <w:pStyle w:val="Heading2"/>
      </w:pPr>
      <w:r>
        <w:t xml:space="preserve">17.9 Trophic Index</w:t>
      </w:r>
    </w:p>
    <w:bookmarkEnd w:id="115"/>
    <w:bookmarkEnd w:id="116"/>
    <w:bookmarkStart w:id="117" w:name="share-1"/>
    <w:p>
      <w:pPr>
        <w:pStyle w:val="Heading1"/>
      </w:pPr>
      <w:r>
        <w:t xml:space="preserve">18. Share</w:t>
      </w:r>
    </w:p>
    <w:p>
      <w:pPr>
        <w:pStyle w:val="FirstParagraph"/>
      </w:pPr>
      <w:r>
        <w:t xml:space="preserve">Metadata standards and portals to share SDMs</w:t>
      </w:r>
    </w:p>
    <w:p>
      <w:pPr>
        <w:pStyle w:val="BodyText"/>
      </w:pPr>
      <w:r>
        <w:br/>
      </w:r>
    </w:p>
    <w:bookmarkEnd w:id="117"/>
    <w:bookmarkStart w:id="118" w:name="metadata"/>
    <w:p>
      <w:pPr>
        <w:pStyle w:val="Heading1"/>
      </w:pPr>
      <w:r>
        <w:t xml:space="preserve">19. Metadata</w:t>
      </w:r>
    </w:p>
    <w:p>
      <w:pPr>
        <w:pStyle w:val="FirstParagraph"/>
      </w:pPr>
      <w:r>
        <w:t xml:space="preserve">Metadata standards for reproducible and stackable SDMs</w:t>
      </w:r>
    </w:p>
    <w:p>
      <w:pPr>
        <w:pStyle w:val="BodyText"/>
      </w:pPr>
      <w:r>
        <w:br/>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1"/>
        </w:numPr>
      </w:pPr>
      <w:r>
        <w:t xml:space="preserve">input</w:t>
      </w:r>
    </w:p>
    <w:p>
      <w:pPr>
        <w:numPr>
          <w:ilvl w:val="1"/>
          <w:numId w:val="1022"/>
        </w:numPr>
      </w:pPr>
      <w:r>
        <w:t xml:space="preserve">input observations</w:t>
      </w:r>
    </w:p>
    <w:p>
      <w:pPr>
        <w:numPr>
          <w:ilvl w:val="1"/>
          <w:numId w:val="1022"/>
        </w:numPr>
      </w:pPr>
      <w:r>
        <w:t xml:space="preserve">environmental predictors</w:t>
      </w:r>
      <w:r>
        <w:br/>
      </w:r>
      <w:r>
        <w:t xml:space="preserve">and range of values in original observations</w:t>
      </w:r>
    </w:p>
    <w:p>
      <w:pPr>
        <w:numPr>
          <w:ilvl w:val="1"/>
          <w:numId w:val="1022"/>
        </w:numPr>
      </w:pPr>
      <w:r>
        <w:t xml:space="preserve">model type and object</w:t>
      </w:r>
    </w:p>
    <w:p>
      <w:pPr>
        <w:numPr>
          <w:ilvl w:val="0"/>
          <w:numId w:val="1021"/>
        </w:numPr>
      </w:pPr>
      <w:r>
        <w:t xml:space="preserve">outputs</w:t>
      </w:r>
    </w:p>
    <w:p>
      <w:pPr>
        <w:numPr>
          <w:ilvl w:val="1"/>
          <w:numId w:val="1023"/>
        </w:numPr>
      </w:pPr>
      <w:r>
        <w:t xml:space="preserve">model object</w:t>
      </w:r>
    </w:p>
    <w:p>
      <w:pPr>
        <w:numPr>
          <w:ilvl w:val="1"/>
          <w:numId w:val="1023"/>
        </w:numPr>
      </w:pPr>
      <w:r>
        <w:t xml:space="preserve">mean prediction</w:t>
      </w:r>
    </w:p>
    <w:p>
      <w:pPr>
        <w:numPr>
          <w:ilvl w:val="1"/>
          <w:numId w:val="1023"/>
        </w:numPr>
      </w:pPr>
      <w:r>
        <w:t xml:space="preserve">measure(s) of uncertainty</w:t>
      </w:r>
      <w:r>
        <w:br/>
      </w:r>
      <w:r>
        <w:t xml:space="preserve">standard error, standard deviation (</w:t>
      </w:r>
      <w:r>
        <w:rPr>
          <w:rStyle w:val="VerbatimChar"/>
        </w:rPr>
        <w:t xml:space="preserve">sd</w:t>
      </w:r>
      <w:r>
        <w:t xml:space="preserve">), confidence intervals (e.g., 5% and 95%), coefficient of variation (cv)…</w:t>
      </w:r>
    </w:p>
    <w:bookmarkEnd w:id="118"/>
    <w:bookmarkStart w:id="125" w:name="portal"/>
    <w:p>
      <w:pPr>
        <w:pStyle w:val="Heading1"/>
      </w:pPr>
      <w:r>
        <w:t xml:space="preserve">20. Portal</w:t>
      </w:r>
    </w:p>
    <w:p>
      <w:pPr>
        <w:pStyle w:val="FirstParagraph"/>
      </w:pPr>
      <w:r>
        <w:t xml:space="preserve">Portal to host and combine for 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are publishing workflows for existing portals?</w:t>
      </w:r>
    </w:p>
    <w:p>
      <w:pPr>
        <w:numPr>
          <w:ilvl w:val="0"/>
          <w:numId w:val="1024"/>
        </w:numPr>
        <w:pStyle w:val="Compact"/>
      </w:pPr>
      <w:r>
        <w:t xml:space="preserve">Existing portals used to share SDMs</w:t>
      </w:r>
    </w:p>
    <w:p>
      <w:pPr>
        <w:numPr>
          <w:ilvl w:val="1"/>
          <w:numId w:val="1025"/>
        </w:numPr>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5"/>
        </w:numPr>
      </w:pPr>
      <w:hyperlink r:id="rId119">
        <w:r>
          <w:rPr>
            <w:rStyle w:val="Hyperlink"/>
          </w:rPr>
          <w:t xml:space="preserve">DisMAP</w:t>
        </w:r>
      </w:hyperlink>
      <w:r>
        <w:br/>
      </w:r>
      <w:r>
        <w:rPr>
          <w:iCs/>
          <w:i/>
        </w:rPr>
        <w:t xml:space="preserve">Distribution Mapping and Analysis Portal</w:t>
      </w:r>
    </w:p>
    <w:p>
      <w:pPr>
        <w:numPr>
          <w:ilvl w:val="1"/>
          <w:numId w:val="1025"/>
        </w:numPr>
      </w:pPr>
      <w:hyperlink r:id="rId120">
        <w:r>
          <w:rPr>
            <w:rStyle w:val="Hyperlink"/>
          </w:rPr>
          <w:t xml:space="preserve">OBIS-SEAMAP Model Repository</w:t>
        </w:r>
      </w:hyperlink>
      <w:r>
        <w:br/>
      </w:r>
      <w:r>
        <w:rPr>
          <w:iCs/>
          <w:i/>
        </w:rPr>
        <w:t xml:space="preserve">World Data Center for Marine Mammal, Seabird, Sea Turtle, Shark &amp; Ray Distributions</w:t>
      </w:r>
    </w:p>
    <w:p>
      <w:pPr>
        <w:numPr>
          <w:ilvl w:val="1"/>
          <w:numId w:val="1025"/>
        </w:numPr>
      </w:pPr>
      <w:hyperlink r:id="rId121">
        <w:r>
          <w:rPr>
            <w:rStyle w:val="Hyperlink"/>
          </w:rPr>
          <w:t xml:space="preserve">NCEI</w:t>
        </w:r>
      </w:hyperlink>
      <w:r>
        <w:br/>
      </w:r>
      <w:r>
        <w:rPr>
          <w:iCs/>
          <w:i/>
        </w:rPr>
        <w:t xml:space="preserve">National Centers for Environmental Information (NOAA)</w:t>
      </w:r>
    </w:p>
    <w:p>
      <w:pPr>
        <w:numPr>
          <w:ilvl w:val="1"/>
          <w:numId w:val="1025"/>
        </w:numPr>
      </w:pPr>
      <w:hyperlink r:id="rId122">
        <w:r>
          <w:rPr>
            <w:rStyle w:val="Hyperlink"/>
          </w:rPr>
          <w:t xml:space="preserve">DataONE</w:t>
        </w:r>
      </w:hyperlink>
      <w:r>
        <w:br/>
      </w:r>
      <w:r>
        <w:rPr>
          <w:iCs/>
          <w:i/>
        </w:rPr>
        <w:t xml:space="preserve">Data Observation Network for Earth</w:t>
      </w:r>
    </w:p>
    <w:p>
      <w:pPr>
        <w:numPr>
          <w:ilvl w:val="1"/>
          <w:numId w:val="1025"/>
        </w:numPr>
      </w:pPr>
      <w:hyperlink r:id="rId123">
        <w:r>
          <w:rPr>
            <w:rStyle w:val="Hyperlink"/>
          </w:rPr>
          <w:t xml:space="preserve">ArcGIS Online</w:t>
        </w:r>
      </w:hyperlink>
    </w:p>
    <w:p>
      <w:pPr>
        <w:numPr>
          <w:ilvl w:val="1"/>
          <w:numId w:val="1000"/>
        </w:numPr>
      </w:pPr>
      <w:r>
        <w:rPr>
          <w:iCs/>
          <w:i/>
        </w:rPr>
        <w:t xml:space="preserve">Esri’s commercial data sharing platform</w:t>
      </w:r>
    </w:p>
    <w:p>
      <w:pPr>
        <w:numPr>
          <w:ilvl w:val="0"/>
          <w:numId w:val="1024"/>
        </w:numPr>
        <w:pStyle w:val="Compact"/>
      </w:pPr>
      <w:r>
        <w:t xml:space="preserve">Candidate portal</w:t>
      </w:r>
      <w:r>
        <w:br/>
      </w:r>
      <w:hyperlink r:id="rId124">
        <w:r>
          <w:rPr>
            <w:rStyle w:val="Hyperlink"/>
          </w:rPr>
          <w:t xml:space="preserve">MarineSpeciesMaps.org</w:t>
        </w:r>
      </w:hyperlink>
      <w:r>
        <w:br/>
      </w:r>
      <w:r>
        <w:t xml:space="preserve">BDB registered the domain. Similar to:</w:t>
      </w:r>
    </w:p>
    <w:p>
      <w:pPr>
        <w:numPr>
          <w:ilvl w:val="1"/>
          <w:numId w:val="1026"/>
        </w:numPr>
        <w:pStyle w:val="Compact"/>
      </w:pPr>
      <w:r>
        <w:rPr>
          <w:bCs/>
          <w:b/>
        </w:rPr>
        <w:t xml:space="preserve">MarineRegions.org</w:t>
      </w:r>
      <w:r>
        <w:br/>
      </w:r>
      <w:r>
        <w:rPr>
          <w:iCs/>
          <w:i/>
        </w:rPr>
        <w:t xml:space="preserve">spatial authority</w:t>
      </w:r>
    </w:p>
    <w:p>
      <w:pPr>
        <w:numPr>
          <w:ilvl w:val="1"/>
          <w:numId w:val="1026"/>
        </w:numPr>
        <w:pStyle w:val="Compact"/>
      </w:pPr>
      <w:r>
        <w:rPr>
          <w:bCs/>
          <w:b/>
        </w:rPr>
        <w:t xml:space="preserve">MarineSpecies.org</w:t>
      </w:r>
      <w:r>
        <w:br/>
      </w:r>
      <w:r>
        <w:rPr>
          <w:iCs/>
          <w:i/>
        </w:rPr>
        <w:t xml:space="preserve">taxonomic authority</w:t>
      </w:r>
    </w:p>
    <w:bookmarkEnd w:id="125"/>
    <w:bookmarkStart w:id="138" w:name="software"/>
    <w:p>
      <w:pPr>
        <w:pStyle w:val="Heading1"/>
      </w:pPr>
      <w:r>
        <w:t xml:space="preserve">21. Software</w:t>
      </w:r>
    </w:p>
    <w:bookmarkStart w:id="132" w:name="r"/>
    <w:p>
      <w:pPr>
        <w:pStyle w:val="Heading2"/>
      </w:pPr>
      <w:r>
        <w:t xml:space="preserve">21.1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4">
        <w:r>
          <w:rPr>
            <w:rStyle w:val="VerbatimChar"/>
          </w:rPr>
          <w:t xml:space="preserve">biomod2</w:t>
        </w:r>
      </w:hyperlink>
      <w:r>
        <w:t xml:space="preserve"> </w:t>
      </w:r>
      <w:r>
        <w:t xml:space="preserve">(ref?).</w:t>
      </w:r>
    </w:p>
    <w:p>
      <w:pPr>
        <w:numPr>
          <w:ilvl w:val="0"/>
          <w:numId w:val="1027"/>
        </w:numPr>
      </w:pPr>
      <w:hyperlink r:id="rId94">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126" name="Picture"/>
            <a:graphic>
              <a:graphicData uri="http://schemas.openxmlformats.org/drawingml/2006/picture">
                <pic:pic>
                  <pic:nvPicPr>
                    <pic:cNvPr descr="https://biomodhub.github.io/biomod2/articles/pictures/SCHEMA_BIOMOD2_WORKFLOW_functions.png" id="127" name="Picture"/>
                    <pic:cNvPicPr>
                      <a:picLocks noChangeArrowheads="1" noChangeAspect="1"/>
                    </pic:cNvPicPr>
                  </pic:nvPicPr>
                  <pic:blipFill>
                    <a:blip r:embed="rId95"/>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27"/>
        </w:numPr>
      </w:pPr>
      <w:hyperlink r:id="rId56">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130" w:name="fig-eks"/>
          <w:p>
            <w:pPr>
              <w:jc w:val="center"/>
            </w:pPr>
            <w:r>
              <w:drawing>
                <wp:inline>
                  <wp:extent cx="4620126" cy="4620126"/>
                  <wp:effectExtent b="0" l="0" r="0" t="0"/>
                  <wp:docPr descr="" title="" id="128" name="Picture"/>
                  <a:graphic>
                    <a:graphicData uri="http://schemas.openxmlformats.org/drawingml/2006/picture">
                      <pic:pic>
                        <pic:nvPicPr>
                          <pic:cNvPr descr="figures/software/eks.png" id="129" name="Picture"/>
                          <pic:cNvPicPr>
                            <a:picLocks noChangeArrowheads="1" noChangeAspect="1"/>
                          </pic:cNvPicPr>
                        </pic:nvPicPr>
                        <pic:blipFill>
                          <a:blip r:embed="rId57"/>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21.1: Source:</w:t>
            </w:r>
            <w:r>
              <w:t xml:space="preserve"> </w:t>
            </w:r>
            <w:hyperlink r:id="rId56">
              <w:r>
                <w:rPr>
                  <w:rStyle w:val="Hyperlink"/>
                </w:rPr>
                <w:t xml:space="preserve">Kernel density estimates for tidy and geospatial data in the eks package</w:t>
              </w:r>
            </w:hyperlink>
          </w:p>
          <w:bookmarkEnd w:id="130"/>
        </w:tc>
      </w:tr>
    </w:tbl>
    <w:p>
      <w:pPr>
        <w:numPr>
          <w:ilvl w:val="0"/>
          <w:numId w:val="1027"/>
        </w:numPr>
      </w:pPr>
      <w:hyperlink r:id="rId131">
        <w:r>
          <w:rPr>
            <w:rStyle w:val="VerbatimChar"/>
          </w:rPr>
          <w:t xml:space="preserve">predicts</w:t>
        </w:r>
      </w:hyperlink>
      <w:r>
        <w:br/>
      </w:r>
      <w:r>
        <w:rPr>
          <w:iCs/>
          <w:i/>
        </w:rPr>
        <w:t xml:space="preserve">New R library using terra for predicting from fitted model</w:t>
      </w:r>
    </w:p>
    <w:bookmarkEnd w:id="132"/>
    <w:bookmarkStart w:id="134" w:name="python"/>
    <w:p>
      <w:pPr>
        <w:pStyle w:val="Heading2"/>
      </w:pPr>
      <w:r>
        <w:t xml:space="preserve">21.2 Python</w:t>
      </w:r>
    </w:p>
    <w:p>
      <w:pPr>
        <w:numPr>
          <w:ilvl w:val="0"/>
          <w:numId w:val="1028"/>
        </w:numPr>
        <w:pStyle w:val="Compact"/>
      </w:pPr>
      <w:hyperlink r:id="rId133">
        <w:r>
          <w:rPr>
            <w:rStyle w:val="Hyperlink"/>
          </w:rPr>
          <w:t xml:space="preserve">Xarray</w:t>
        </w:r>
      </w:hyperlink>
      <w:r>
        <w:br/>
      </w:r>
      <w:r>
        <w:t xml:space="preserve">Xarray makes working with labelled multi-dimensional arrays in Python simple, efficient, and fun!</w:t>
      </w:r>
    </w:p>
    <w:bookmarkEnd w:id="134"/>
    <w:bookmarkStart w:id="137" w:name="google-earth-engine"/>
    <w:p>
      <w:pPr>
        <w:pStyle w:val="Heading2"/>
      </w:pPr>
      <w:r>
        <w:t xml:space="preserve">21.3 Google Earth Engine</w:t>
      </w:r>
    </w:p>
    <w:p>
      <w:pPr>
        <w:numPr>
          <w:ilvl w:val="0"/>
          <w:numId w:val="1029"/>
        </w:numPr>
        <w:pStyle w:val="Compact"/>
      </w:pPr>
      <w:hyperlink r:id="rId135">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136">
        <w:r>
          <w:rPr>
            <w:rStyle w:val="Hyperlink"/>
          </w:rPr>
          <w:t xml:space="preserve">Documentation</w:t>
        </w:r>
      </w:hyperlink>
    </w:p>
    <w:bookmarkEnd w:id="137"/>
    <w:bookmarkEnd w:id="138"/>
    <w:bookmarkStart w:id="155" w:name="organize"/>
    <w:p>
      <w:pPr>
        <w:pStyle w:val="Heading1"/>
      </w:pPr>
      <w:r>
        <w:t xml:space="preserve">22. Organize</w:t>
      </w:r>
    </w:p>
    <w:bookmarkStart w:id="151" w:name="partners"/>
    <w:p>
      <w:pPr>
        <w:pStyle w:val="Heading2"/>
      </w:pPr>
      <w:r>
        <w:t xml:space="preserve">22.1 Partners</w:t>
      </w:r>
    </w:p>
    <w:p>
      <w:pPr>
        <w:numPr>
          <w:ilvl w:val="0"/>
          <w:numId w:val="1030"/>
        </w:numPr>
      </w:pPr>
      <w:r>
        <w:rPr>
          <w:iCs/>
          <w:i/>
          <w:bCs/>
          <w:b/>
        </w:rPr>
        <w:t xml:space="preserve">Confirmed</w:t>
      </w:r>
    </w:p>
    <w:p>
      <w:pPr>
        <w:numPr>
          <w:ilvl w:val="1"/>
          <w:numId w:val="1031"/>
        </w:numPr>
      </w:pPr>
      <w:hyperlink r:id="rId139">
        <w:r>
          <w:rPr>
            <w:rStyle w:val="Hyperlink"/>
          </w:rPr>
          <w:t xml:space="preserve">AquaMaps</w:t>
        </w:r>
      </w:hyperlink>
      <w:r>
        <w:br/>
      </w:r>
      <w:r>
        <w:rPr>
          <w:iCs/>
          <w:i/>
        </w:rPr>
        <w:t xml:space="preserve">distribution maps for over 33,500 species of fishes, marine mammals and invertebrates</w:t>
      </w:r>
    </w:p>
    <w:p>
      <w:pPr>
        <w:numPr>
          <w:ilvl w:val="2"/>
          <w:numId w:val="1032"/>
        </w:numPr>
        <w:pStyle w:val="Compact"/>
      </w:pPr>
      <w:r>
        <w:t xml:space="preserve">Gabriel Reygondeau (g.reygondeau@oceans.ubc.ca)</w:t>
      </w:r>
    </w:p>
    <w:p>
      <w:pPr>
        <w:numPr>
          <w:ilvl w:val="1"/>
          <w:numId w:val="1031"/>
        </w:numPr>
      </w:pPr>
      <w:hyperlink r:id="rId140">
        <w:r>
          <w:rPr>
            <w:rStyle w:val="Hyperlink"/>
          </w:rPr>
          <w:t xml:space="preserve">MBON</w:t>
        </w:r>
      </w:hyperlink>
      <w:r>
        <w:br/>
      </w:r>
      <w:r>
        <w:rPr>
          <w:iCs/>
          <w:i/>
        </w:rPr>
        <w:t xml:space="preserve">Marine Biodiversity Observation Network (NOAA, NASA)</w:t>
      </w:r>
    </w:p>
    <w:p>
      <w:pPr>
        <w:numPr>
          <w:ilvl w:val="2"/>
          <w:numId w:val="1033"/>
        </w:numPr>
      </w:pPr>
      <w:r>
        <w:t xml:space="preserve">Ben Best</w:t>
      </w:r>
    </w:p>
    <w:p>
      <w:pPr>
        <w:numPr>
          <w:ilvl w:val="2"/>
          <w:numId w:val="1033"/>
        </w:numPr>
      </w:pPr>
      <w:r>
        <w:t xml:space="preserve">Tylar Murray</w:t>
      </w:r>
    </w:p>
    <w:p>
      <w:pPr>
        <w:numPr>
          <w:ilvl w:val="2"/>
          <w:numId w:val="1033"/>
        </w:numPr>
      </w:pPr>
      <w:r>
        <w:t xml:space="preserve">Dan Otis</w:t>
      </w:r>
    </w:p>
    <w:p>
      <w:pPr>
        <w:numPr>
          <w:ilvl w:val="2"/>
          <w:numId w:val="1033"/>
        </w:numPr>
      </w:pPr>
      <w:r>
        <w:t xml:space="preserve">Frank Muller-Karger</w:t>
      </w:r>
    </w:p>
    <w:p>
      <w:pPr>
        <w:numPr>
          <w:ilvl w:val="1"/>
          <w:numId w:val="1031"/>
        </w:numPr>
      </w:pPr>
      <w:hyperlink r:id="rId141">
        <w:r>
          <w:rPr>
            <w:rStyle w:val="Hyperlink"/>
          </w:rPr>
          <w:t xml:space="preserve">OBIS</w:t>
        </w:r>
      </w:hyperlink>
      <w:r>
        <w:br/>
      </w:r>
      <w:r>
        <w:rPr>
          <w:iCs/>
          <w:i/>
        </w:rPr>
        <w:t xml:space="preserve">Ocean Biodiversity Information System (UNESCO)</w:t>
      </w:r>
    </w:p>
    <w:p>
      <w:pPr>
        <w:numPr>
          <w:ilvl w:val="2"/>
          <w:numId w:val="1034"/>
        </w:numPr>
      </w:pPr>
      <w:r>
        <w:t xml:space="preserve">Candido Principe De Souza, Silas (s.principe@unesco.org)</w:t>
      </w:r>
    </w:p>
    <w:p>
      <w:pPr>
        <w:numPr>
          <w:ilvl w:val="2"/>
          <w:numId w:val="1034"/>
        </w:numPr>
      </w:pPr>
      <w:r>
        <w:t xml:space="preserve">Ward Appeltans (w.appeltans@unesco.org)</w:t>
      </w:r>
    </w:p>
    <w:p>
      <w:pPr>
        <w:numPr>
          <w:ilvl w:val="0"/>
          <w:numId w:val="1030"/>
        </w:numPr>
      </w:pPr>
      <w:r>
        <w:rPr>
          <w:iCs/>
          <w:i/>
          <w:bCs/>
          <w:b/>
        </w:rPr>
        <w:t xml:space="preserve">Proposed</w:t>
      </w:r>
    </w:p>
    <w:p>
      <w:pPr>
        <w:numPr>
          <w:ilvl w:val="1"/>
          <w:numId w:val="1035"/>
        </w:numPr>
      </w:pPr>
      <w:hyperlink r:id="rId119">
        <w:r>
          <w:rPr>
            <w:rStyle w:val="Hyperlink"/>
          </w:rPr>
          <w:t xml:space="preserve">DisMAP</w:t>
        </w:r>
      </w:hyperlink>
      <w:r>
        <w:br/>
      </w:r>
      <w:r>
        <w:rPr>
          <w:iCs/>
          <w:i/>
        </w:rPr>
        <w:t xml:space="preserve">Distribution Mapping and Analysis Portal (NOAA)</w:t>
      </w:r>
    </w:p>
    <w:p>
      <w:pPr>
        <w:numPr>
          <w:ilvl w:val="2"/>
          <w:numId w:val="1036"/>
        </w:numPr>
      </w:pPr>
      <w:r>
        <w:t xml:space="preserve">Melissa Karp (melissa.karp@noaa.gov)</w:t>
      </w:r>
    </w:p>
    <w:p>
      <w:pPr>
        <w:numPr>
          <w:ilvl w:val="2"/>
          <w:numId w:val="1036"/>
        </w:numPr>
      </w:pPr>
      <w:r>
        <w:t xml:space="preserve">Roger Griffis (roger.b.griffis@noaa.gov)</w:t>
      </w:r>
    </w:p>
    <w:p>
      <w:pPr>
        <w:numPr>
          <w:ilvl w:val="1"/>
          <w:numId w:val="1035"/>
        </w:numPr>
      </w:pPr>
      <w:hyperlink r:id="rId142">
        <w:r>
          <w:rPr>
            <w:rStyle w:val="Hyperlink"/>
          </w:rPr>
          <w:t xml:space="preserve">FishBase</w:t>
        </w:r>
      </w:hyperlink>
      <w:r>
        <w:br/>
      </w:r>
      <w:r>
        <w:rPr>
          <w:iCs/>
          <w:i/>
        </w:rPr>
        <w:t xml:space="preserve">global species database of fish species (also: Sea Around Us / Sea Life Base)</w:t>
      </w:r>
    </w:p>
    <w:p>
      <w:pPr>
        <w:numPr>
          <w:ilvl w:val="2"/>
          <w:numId w:val="1037"/>
        </w:numPr>
      </w:pPr>
      <w:r>
        <w:t xml:space="preserve">Deng Palomares</w:t>
      </w:r>
    </w:p>
    <w:p>
      <w:pPr>
        <w:numPr>
          <w:ilvl w:val="2"/>
          <w:numId w:val="1037"/>
        </w:numPr>
      </w:pPr>
      <w:r>
        <w:t xml:space="preserve">Kathleen Reyes</w:t>
      </w:r>
    </w:p>
    <w:p>
      <w:pPr>
        <w:numPr>
          <w:ilvl w:val="1"/>
          <w:numId w:val="1035"/>
        </w:numPr>
      </w:pPr>
      <w:hyperlink r:id="rId143">
        <w:r>
          <w:rPr>
            <w:rStyle w:val="Hyperlink"/>
          </w:rPr>
          <w:t xml:space="preserve">FishGLOB</w:t>
        </w:r>
      </w:hyperlink>
      <w:r>
        <w:br/>
      </w:r>
      <w:r>
        <w:rPr>
          <w:iCs/>
          <w:i/>
        </w:rPr>
        <w:t xml:space="preserve">Fish biodiversity under global change (global bottom trawl)</w:t>
      </w:r>
    </w:p>
    <w:p>
      <w:pPr>
        <w:numPr>
          <w:ilvl w:val="2"/>
          <w:numId w:val="1038"/>
        </w:numPr>
        <w:pStyle w:val="Compact"/>
      </w:pPr>
      <w:r>
        <w:t xml:space="preserve">Malin Pinsky</w:t>
      </w:r>
    </w:p>
    <w:p>
      <w:pPr>
        <w:numPr>
          <w:ilvl w:val="1"/>
          <w:numId w:val="1035"/>
        </w:numPr>
      </w:pPr>
      <w:hyperlink r:id="rId144">
        <w:r>
          <w:rPr>
            <w:rStyle w:val="Hyperlink"/>
          </w:rPr>
          <w:t xml:space="preserve">Lenfest Marine Biodiversity Dialogues</w:t>
        </w:r>
      </w:hyperlink>
      <w:r>
        <w:br/>
      </w:r>
      <w:r>
        <w:rPr>
          <w:iCs/>
          <w:i/>
        </w:rPr>
        <w:t xml:space="preserve">developing a framework to assess the abundance and distribution of marine biodiversity in U.S. (Smithsonian, U of Queensland)</w:t>
      </w:r>
    </w:p>
    <w:p>
      <w:pPr>
        <w:numPr>
          <w:ilvl w:val="2"/>
          <w:numId w:val="1039"/>
        </w:numPr>
      </w:pPr>
      <w:r>
        <w:t xml:space="preserve">Daniel Dunn</w:t>
      </w:r>
    </w:p>
    <w:p>
      <w:pPr>
        <w:numPr>
          <w:ilvl w:val="2"/>
          <w:numId w:val="1039"/>
        </w:numPr>
      </w:pPr>
      <w:r>
        <w:t xml:space="preserve">Emmett Duffy</w:t>
      </w:r>
    </w:p>
    <w:p>
      <w:pPr>
        <w:numPr>
          <w:ilvl w:val="1"/>
          <w:numId w:val="1035"/>
        </w:numPr>
      </w:pPr>
      <w:hyperlink r:id="rId145">
        <w:r>
          <w:rPr>
            <w:rStyle w:val="Hyperlink"/>
          </w:rPr>
          <w:t xml:space="preserve">MGEL</w:t>
        </w:r>
      </w:hyperlink>
      <w:r>
        <w:br/>
      </w:r>
      <w:r>
        <w:rPr>
          <w:iCs/>
          <w:i/>
        </w:rPr>
        <w:t xml:space="preserve">Marine Geospatial Ecology Lab (Duke)</w:t>
      </w:r>
    </w:p>
    <w:p>
      <w:pPr>
        <w:numPr>
          <w:ilvl w:val="2"/>
          <w:numId w:val="1040"/>
        </w:numPr>
      </w:pPr>
      <w:r>
        <w:t xml:space="preserve">Jason Roberts</w:t>
      </w:r>
    </w:p>
    <w:p>
      <w:pPr>
        <w:numPr>
          <w:ilvl w:val="2"/>
          <w:numId w:val="1040"/>
        </w:numPr>
      </w:pPr>
      <w:r>
        <w:t xml:space="preserve">Patrick Halpin</w:t>
      </w:r>
    </w:p>
    <w:p>
      <w:pPr>
        <w:numPr>
          <w:ilvl w:val="1"/>
          <w:numId w:val="1035"/>
        </w:numPr>
      </w:pPr>
      <w:hyperlink r:id="rId146">
        <w:r>
          <w:rPr>
            <w:rStyle w:val="Hyperlink"/>
          </w:rPr>
          <w:t xml:space="preserve">MPA-Europe</w:t>
        </w:r>
      </w:hyperlink>
    </w:p>
    <w:p>
      <w:pPr>
        <w:numPr>
          <w:ilvl w:val="2"/>
          <w:numId w:val="1041"/>
        </w:numPr>
        <w:pStyle w:val="Compact"/>
      </w:pPr>
      <w:r>
        <w:t xml:space="preserve">Mark Costello</w:t>
      </w:r>
    </w:p>
    <w:p>
      <w:pPr>
        <w:numPr>
          <w:ilvl w:val="1"/>
          <w:numId w:val="1035"/>
        </w:numPr>
      </w:pPr>
      <w:hyperlink r:id="rId147">
        <w:r>
          <w:rPr>
            <w:rStyle w:val="Hyperlink"/>
          </w:rPr>
          <w:t xml:space="preserve">Natura Connect</w:t>
        </w:r>
      </w:hyperlink>
      <w:r>
        <w:br/>
      </w:r>
      <w:r>
        <w:rPr>
          <w:iCs/>
          <w:i/>
        </w:rPr>
        <w:t xml:space="preserve">Think Tank within the Natura Connect to discuss the implementation of the European Biodiversity Strategy in Portugal</w:t>
      </w:r>
    </w:p>
    <w:p>
      <w:pPr>
        <w:numPr>
          <w:ilvl w:val="2"/>
          <w:numId w:val="1042"/>
        </w:numPr>
        <w:pStyle w:val="Compact"/>
      </w:pPr>
      <w:r>
        <w:t xml:space="preserve">Miguel Araujo</w:t>
      </w:r>
      <w:r>
        <w:br/>
      </w:r>
    </w:p>
    <w:p>
      <w:pPr>
        <w:numPr>
          <w:ilvl w:val="1"/>
          <w:numId w:val="1035"/>
        </w:numPr>
      </w:pPr>
      <w:hyperlink r:id="rId148">
        <w:r>
          <w:rPr>
            <w:rStyle w:val="Hyperlink"/>
          </w:rPr>
          <w:t xml:space="preserve">NCEAS</w:t>
        </w:r>
      </w:hyperlink>
      <w:r>
        <w:br/>
      </w:r>
      <w:r>
        <w:rPr>
          <w:iCs/>
          <w:i/>
        </w:rPr>
        <w:t xml:space="preserve">National Center for Ecological Analysis and Synthesis</w:t>
      </w:r>
    </w:p>
    <w:p>
      <w:pPr>
        <w:numPr>
          <w:ilvl w:val="2"/>
          <w:numId w:val="1043"/>
        </w:numPr>
      </w:pPr>
      <w:r>
        <w:t xml:space="preserve">Casey O’Hara</w:t>
      </w:r>
    </w:p>
    <w:p>
      <w:pPr>
        <w:numPr>
          <w:ilvl w:val="2"/>
          <w:numId w:val="1043"/>
        </w:numPr>
      </w:pPr>
      <w:r>
        <w:t xml:space="preserve">Ben Halpern</w:t>
      </w:r>
      <w:r>
        <w:br/>
      </w:r>
    </w:p>
    <w:p>
      <w:pPr>
        <w:numPr>
          <w:ilvl w:val="1"/>
          <w:numId w:val="1035"/>
        </w:numPr>
      </w:pPr>
      <w:hyperlink r:id="rId149">
        <w:r>
          <w:rPr>
            <w:rStyle w:val="Hyperlink"/>
          </w:rPr>
          <w:t xml:space="preserve">PMEL</w:t>
        </w:r>
      </w:hyperlink>
      <w:r>
        <w:br/>
      </w:r>
      <w:r>
        <w:rPr>
          <w:iCs/>
          <w:i/>
        </w:rPr>
        <w:t xml:space="preserve">Pacific Marine Environmental Lab (NOAA)</w:t>
      </w:r>
    </w:p>
    <w:p>
      <w:pPr>
        <w:numPr>
          <w:ilvl w:val="2"/>
          <w:numId w:val="1044"/>
        </w:numPr>
      </w:pPr>
      <w:r>
        <w:t xml:space="preserve">Heather Welch</w:t>
      </w:r>
    </w:p>
    <w:p>
      <w:pPr>
        <w:numPr>
          <w:ilvl w:val="2"/>
          <w:numId w:val="1044"/>
        </w:numPr>
      </w:pPr>
      <w:r>
        <w:t xml:space="preserve">Elliot Hazen</w:t>
      </w:r>
    </w:p>
    <w:p>
      <w:pPr>
        <w:numPr>
          <w:ilvl w:val="1"/>
          <w:numId w:val="1035"/>
        </w:numPr>
      </w:pPr>
      <w:hyperlink r:id="rId150">
        <w:r>
          <w:rPr>
            <w:rStyle w:val="Hyperlink"/>
          </w:rPr>
          <w:t xml:space="preserve">Wallace</w:t>
        </w:r>
      </w:hyperlink>
      <w:r>
        <w:br/>
      </w:r>
      <w:r>
        <w:rPr>
          <w:iCs/>
          <w:i/>
        </w:rPr>
        <w:t xml:space="preserve">Shiny web interface (terrestrial so far) for creating SDMs (AMNH)</w:t>
      </w:r>
    </w:p>
    <w:p>
      <w:pPr>
        <w:numPr>
          <w:ilvl w:val="2"/>
          <w:numId w:val="1045"/>
        </w:numPr>
      </w:pPr>
      <w:r>
        <w:t xml:space="preserve">Jamie Kass</w:t>
      </w:r>
    </w:p>
    <w:p>
      <w:pPr>
        <w:numPr>
          <w:ilvl w:val="2"/>
          <w:numId w:val="1045"/>
        </w:numPr>
      </w:pPr>
      <w:r>
        <w:t xml:space="preserve">Mary Blair</w:t>
      </w:r>
    </w:p>
    <w:bookmarkEnd w:id="151"/>
    <w:bookmarkStart w:id="154" w:name="timeline"/>
    <w:p>
      <w:pPr>
        <w:pStyle w:val="Heading2"/>
      </w:pPr>
      <w:r>
        <w:t xml:space="preserve">22.2 Timeline</w:t>
      </w:r>
    </w:p>
    <w:bookmarkStart w:id="152" w:name="meetings"/>
    <w:p>
      <w:pPr>
        <w:pStyle w:val="Heading3"/>
      </w:pPr>
      <w:r>
        <w:t xml:space="preserve">22.2.1 Meetings</w:t>
      </w:r>
    </w:p>
    <w:p>
      <w:pPr>
        <w:numPr>
          <w:ilvl w:val="0"/>
          <w:numId w:val="1046"/>
        </w:numPr>
      </w:pPr>
      <w:r>
        <w:rPr>
          <w:bCs/>
          <w:b/>
        </w:rPr>
        <w:t xml:space="preserve">2024-01-23</w:t>
      </w:r>
      <w:r>
        <w:br/>
      </w:r>
      <w:r>
        <w:t xml:space="preserve">Marine Biodiversity Summit in DC</w:t>
      </w:r>
      <w:r>
        <w:br/>
      </w:r>
      <w:r>
        <w:t xml:space="preserve">(organized by Gabrielle, Emmett)</w:t>
      </w:r>
    </w:p>
    <w:p>
      <w:pPr>
        <w:numPr>
          <w:ilvl w:val="0"/>
          <w:numId w:val="1046"/>
        </w:numPr>
      </w:pPr>
      <w:r>
        <w:rPr>
          <w:bCs/>
          <w:b/>
        </w:rPr>
        <w:t xml:space="preserve">2024-03-21</w:t>
      </w:r>
      <w:r>
        <w:br/>
      </w:r>
      <w:r>
        <w:t xml:space="preserve">SDM meeting in New Orleans</w:t>
      </w:r>
      <w:r>
        <w:br/>
      </w:r>
      <w:r>
        <w:t xml:space="preserve">(organized by BDB; so far AquaMaps)</w:t>
      </w:r>
    </w:p>
    <w:bookmarkEnd w:id="152"/>
    <w:bookmarkStart w:id="153" w:name="sequence"/>
    <w:p>
      <w:pPr>
        <w:pStyle w:val="Heading3"/>
      </w:pPr>
      <w:r>
        <w:t xml:space="preserve">22.2.2 Sequence</w:t>
      </w:r>
    </w:p>
    <w:bookmarkEnd w:id="153"/>
    <w:bookmarkEnd w:id="154"/>
    <w:bookmarkEnd w:id="155"/>
    <w:bookmarkStart w:id="200" w:name="references"/>
    <w:p>
      <w:pPr>
        <w:pStyle w:val="Heading1"/>
      </w:pPr>
      <w:r>
        <w:t xml:space="preserve">References</w:t>
      </w:r>
    </w:p>
    <w:bookmarkStart w:id="199" w:name="refs"/>
    <w:bookmarkStart w:id="156"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56"/>
    <w:bookmarkStart w:id="158"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57">
        <w:r>
          <w:rPr>
            <w:rStyle w:val="Hyperlink"/>
          </w:rPr>
          <w:t xml:space="preserve">https://doi.org/10.1126/sciadv.aat4858</w:t>
        </w:r>
      </w:hyperlink>
      <w:r>
        <w:t xml:space="preserve">.</w:t>
      </w:r>
    </w:p>
    <w:bookmarkEnd w:id="158"/>
    <w:bookmarkStart w:id="160"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59">
        <w:r>
          <w:rPr>
            <w:rStyle w:val="Hyperlink"/>
          </w:rPr>
          <w:t xml:space="preserve">https://doi.org/10.1111/j.2041-210X.2011.00172.x</w:t>
        </w:r>
      </w:hyperlink>
      <w:r>
        <w:t xml:space="preserve">.</w:t>
      </w:r>
    </w:p>
    <w:bookmarkEnd w:id="160"/>
    <w:bookmarkStart w:id="162"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61">
        <w:r>
          <w:rPr>
            <w:rStyle w:val="Hyperlink"/>
          </w:rPr>
          <w:t xml:space="preserve">https://doi.org/10.1016/j.ecoinf.2023.102147</w:t>
        </w:r>
      </w:hyperlink>
      <w:r>
        <w:t xml:space="preserve">.</w:t>
      </w:r>
    </w:p>
    <w:bookmarkEnd w:id="162"/>
    <w:bookmarkStart w:id="164" w:name="ref-carroll2022"/>
    <w:p>
      <w:pPr>
        <w:pStyle w:val="Bibliography"/>
      </w:pPr>
      <w:r>
        <w:t xml:space="preserve">Carroll, C., R. F. Noss, and Bruce A. Stein. 2022.</w:t>
      </w:r>
      <w:r>
        <w:t xml:space="preserve"> </w:t>
      </w:r>
      <w:r>
        <w:t xml:space="preserve">“US Conservation Atlas Needs Biodiversity Data.”</w:t>
      </w:r>
      <w:r>
        <w:t xml:space="preserve"> </w:t>
      </w:r>
      <w:r>
        <w:rPr>
          <w:iCs/>
          <w:i/>
        </w:rPr>
        <w:t xml:space="preserve">Science</w:t>
      </w:r>
      <w:r>
        <w:t xml:space="preserve"> </w:t>
      </w:r>
      <w:r>
        <w:t xml:space="preserve">376 (6589): 144–45.</w:t>
      </w:r>
      <w:r>
        <w:t xml:space="preserve"> </w:t>
      </w:r>
      <w:hyperlink r:id="rId163">
        <w:r>
          <w:rPr>
            <w:rStyle w:val="Hyperlink"/>
          </w:rPr>
          <w:t xml:space="preserve">https://doi.org/10.1126/science.abo0526</w:t>
        </w:r>
      </w:hyperlink>
      <w:r>
        <w:t xml:space="preserve">.</w:t>
      </w:r>
    </w:p>
    <w:bookmarkEnd w:id="164"/>
    <w:bookmarkStart w:id="166"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65">
        <w:r>
          <w:rPr>
            <w:rStyle w:val="Hyperlink"/>
          </w:rPr>
          <w:t xml:space="preserve">https://doi.org/10.1146/annurev.ecolsys.110308.120159</w:t>
        </w:r>
      </w:hyperlink>
      <w:r>
        <w:t xml:space="preserve">.</w:t>
      </w:r>
    </w:p>
    <w:bookmarkEnd w:id="166"/>
    <w:bookmarkStart w:id="168"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67">
        <w:r>
          <w:rPr>
            <w:rStyle w:val="Hyperlink"/>
          </w:rPr>
          <w:t xml:space="preserve">http://dx.doi.org/10.1111/j.1472-4642.2010.00725.x</w:t>
        </w:r>
      </w:hyperlink>
      <w:r>
        <w:t xml:space="preserve">.</w:t>
      </w:r>
    </w:p>
    <w:bookmarkEnd w:id="168"/>
    <w:bookmarkStart w:id="170"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69">
        <w:r>
          <w:rPr>
            <w:rStyle w:val="Hyperlink"/>
          </w:rPr>
          <w:t xml:space="preserve">https://doi.org/10.1016/j.rse.2017.06.031</w:t>
        </w:r>
      </w:hyperlink>
      <w:r>
        <w:t xml:space="preserve">.</w:t>
      </w:r>
    </w:p>
    <w:bookmarkEnd w:id="170"/>
    <w:bookmarkStart w:id="172"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71">
        <w:r>
          <w:rPr>
            <w:rStyle w:val="Hyperlink"/>
          </w:rPr>
          <w:t xml:space="preserve">https://www.jstor.org/stable/43924357</w:t>
        </w:r>
      </w:hyperlink>
      <w:r>
        <w:t xml:space="preserve">.</w:t>
      </w:r>
    </w:p>
    <w:bookmarkEnd w:id="172"/>
    <w:bookmarkStart w:id="174"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73">
        <w:r>
          <w:rPr>
            <w:rStyle w:val="Hyperlink"/>
          </w:rPr>
          <w:t xml:space="preserve">https://doi.org/10.1038/nature11397</w:t>
        </w:r>
      </w:hyperlink>
      <w:r>
        <w:t xml:space="preserve">.</w:t>
      </w:r>
    </w:p>
    <w:bookmarkEnd w:id="174"/>
    <w:bookmarkStart w:id="176"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75">
        <w:r>
          <w:rPr>
            <w:rStyle w:val="Hyperlink"/>
          </w:rPr>
          <w:t xml:space="preserve">https://doi.org/10.3354/meps316285</w:t>
        </w:r>
      </w:hyperlink>
      <w:r>
        <w:t xml:space="preserve">.</w:t>
      </w:r>
    </w:p>
    <w:bookmarkEnd w:id="176"/>
    <w:bookmarkStart w:id="178"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77">
        <w:r>
          <w:rPr>
            <w:rStyle w:val="Hyperlink"/>
          </w:rPr>
          <w:t xml:space="preserve">https://doi.org/10.1111/ecog.06547</w:t>
        </w:r>
      </w:hyperlink>
      <w:r>
        <w:t xml:space="preserve">.</w:t>
      </w:r>
    </w:p>
    <w:bookmarkEnd w:id="178"/>
    <w:bookmarkStart w:id="180"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79">
        <w:r>
          <w:rPr>
            <w:rStyle w:val="Hyperlink"/>
          </w:rPr>
          <w:t xml:space="preserve">https://www.frontiersin.org/articles/10.3389/fmars.2019.00588</w:t>
        </w:r>
      </w:hyperlink>
      <w:r>
        <w:t xml:space="preserve">.</w:t>
      </w:r>
    </w:p>
    <w:bookmarkEnd w:id="180"/>
    <w:bookmarkStart w:id="182"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81">
        <w:r>
          <w:rPr>
            <w:rStyle w:val="Hyperlink"/>
          </w:rPr>
          <w:t xml:space="preserve">https://doi.org/10.1111/ecog.03049</w:t>
        </w:r>
      </w:hyperlink>
      <w:r>
        <w:t xml:space="preserve">.</w:t>
      </w:r>
    </w:p>
    <w:bookmarkEnd w:id="182"/>
    <w:bookmarkStart w:id="184"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83">
        <w:r>
          <w:rPr>
            <w:rStyle w:val="Hyperlink"/>
          </w:rPr>
          <w:t xml:space="preserve">https://doi.org/10.1016/j.ecolmodel.2005.03.026</w:t>
        </w:r>
      </w:hyperlink>
      <w:r>
        <w:t xml:space="preserve">.</w:t>
      </w:r>
    </w:p>
    <w:bookmarkEnd w:id="184"/>
    <w:bookmarkStart w:id="186"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85">
        <w:r>
          <w:rPr>
            <w:rStyle w:val="Hyperlink"/>
          </w:rPr>
          <w:t xml:space="preserve">https://doi.org/10.1111/j.0906-7590.2008.5203.x</w:t>
        </w:r>
      </w:hyperlink>
      <w:r>
        <w:t xml:space="preserve">.</w:t>
      </w:r>
    </w:p>
    <w:bookmarkEnd w:id="186"/>
    <w:bookmarkStart w:id="188"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87">
        <w:r>
          <w:rPr>
            <w:rStyle w:val="Hyperlink"/>
          </w:rPr>
          <w:t xml:space="preserve">https://doi.org/10.1016/j.ecolmodel.2009.10.025</w:t>
        </w:r>
      </w:hyperlink>
      <w:r>
        <w:t xml:space="preserve">.</w:t>
      </w:r>
    </w:p>
    <w:bookmarkEnd w:id="188"/>
    <w:bookmarkStart w:id="190" w:name="ref-roberts2016"/>
    <w:p>
      <w:pPr>
        <w:pStyle w:val="Bibliography"/>
      </w:pPr>
      <w:r>
        <w:t xml:space="preserve">Roberts, Jason J., Benjamin D. Best, Laura Mannocci, Ei Fujioka, Patrick N. Halpin, Debra L. Palka, Lance P. Garrison, et al. 2016.</w:t>
      </w:r>
      <w:r>
        <w:t xml:space="preserve"> </w:t>
      </w:r>
      <w:r>
        <w:t xml:space="preserve">“Habitat-Based Cetacean Density Models for the u.s. Atlantic and Gulf of Mexico.”</w:t>
      </w:r>
      <w:r>
        <w:t xml:space="preserve"> </w:t>
      </w:r>
      <w:r>
        <w:rPr>
          <w:iCs/>
          <w:i/>
        </w:rPr>
        <w:t xml:space="preserve">Scientific Reports</w:t>
      </w:r>
      <w:r>
        <w:t xml:space="preserve"> </w:t>
      </w:r>
      <w:r>
        <w:t xml:space="preserve">6 (March): 22615.</w:t>
      </w:r>
      <w:r>
        <w:t xml:space="preserve"> </w:t>
      </w:r>
      <w:hyperlink r:id="rId189">
        <w:r>
          <w:rPr>
            <w:rStyle w:val="Hyperlink"/>
          </w:rPr>
          <w:t xml:space="preserve">https://doi.org/10.1038/srep22615</w:t>
        </w:r>
      </w:hyperlink>
      <w:r>
        <w:t xml:space="preserve">.</w:t>
      </w:r>
    </w:p>
    <w:bookmarkEnd w:id="190"/>
    <w:bookmarkStart w:id="192" w:name="ref-aquamapsdata"/>
    <w:p>
      <w:pPr>
        <w:pStyle w:val="Bibliography"/>
      </w:pPr>
      <w:r>
        <w:t xml:space="preserve">Skyttner, Markus. 2020.</w:t>
      </w:r>
      <w:r>
        <w:t xml:space="preserve"> </w:t>
      </w:r>
      <w:r>
        <w:t xml:space="preserve">“Aquamapsdata: Curated Data from AquaMaps.org.”</w:t>
      </w:r>
      <w:r>
        <w:t xml:space="preserve"> </w:t>
      </w:r>
      <w:hyperlink r:id="rId191">
        <w:r>
          <w:rPr>
            <w:rStyle w:val="Hyperlink"/>
          </w:rPr>
          <w:t xml:space="preserve">https://github.com/raquamaps/aquamapsdata</w:t>
        </w:r>
      </w:hyperlink>
      <w:r>
        <w:t xml:space="preserve">.</w:t>
      </w:r>
    </w:p>
    <w:bookmarkEnd w:id="192"/>
    <w:bookmarkStart w:id="194"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93">
        <w:r>
          <w:rPr>
            <w:rStyle w:val="Hyperlink"/>
          </w:rPr>
          <w:t xml:space="preserve">https://doi.org/10.1038/nature09329</w:t>
        </w:r>
      </w:hyperlink>
      <w:r>
        <w:t xml:space="preserve">.</w:t>
      </w:r>
    </w:p>
    <w:bookmarkEnd w:id="194"/>
    <w:bookmarkStart w:id="196"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95">
        <w:r>
          <w:rPr>
            <w:rStyle w:val="Hyperlink"/>
          </w:rPr>
          <w:t xml:space="preserve">https://doi.org/10.1016/j.marpol.2020.103927</w:t>
        </w:r>
      </w:hyperlink>
      <w:r>
        <w:t xml:space="preserve">.</w:t>
      </w:r>
    </w:p>
    <w:bookmarkEnd w:id="196"/>
    <w:bookmarkStart w:id="198"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97">
        <w:r>
          <w:rPr>
            <w:rStyle w:val="Hyperlink"/>
          </w:rPr>
          <w:t xml:space="preserve">https://doi.org/10.1111/ecog.04960</w:t>
        </w:r>
      </w:hyperlink>
      <w:r>
        <w:t xml:space="preserve">.</w:t>
      </w:r>
    </w:p>
    <w:bookmarkEnd w:id="198"/>
    <w:bookmarkEnd w:id="199"/>
    <w:bookmarkEnd w:id="200"/>
    <w:bookmarkStart w:id="202"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201">
              <w:r>
                <w:rPr>
                  <w:rStyle w:val="Hyperlink"/>
                </w:rPr>
                <w:t xml:space="preserve">MarineBON.org</w:t>
              </w:r>
            </w:hyperlink>
          </w:p>
        </w:tc>
      </w:tr>
    </w:tbl>
    <w:bookmarkEnd w:id="202"/>
    <w:bookmarkStart w:id="208"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48"/>
        </w:numPr>
      </w:pPr>
      <w:hyperlink r:id="rId203">
        <w:r>
          <w:rPr>
            <w:rStyle w:val="Hyperlink"/>
          </w:rPr>
          <w:t xml:space="preserve"> website</w:t>
        </w:r>
      </w:hyperlink>
    </w:p>
    <w:p>
      <w:pPr>
        <w:numPr>
          <w:ilvl w:val="0"/>
          <w:numId w:val="1048"/>
        </w:numPr>
      </w:pPr>
      <w:hyperlink r:id="rId204">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206" name="Picture"/>
            <a:graphic>
              <a:graphicData uri="http://schemas.openxmlformats.org/drawingml/2006/picture">
                <pic:pic>
                  <pic:nvPicPr>
                    <pic:cNvPr descr="explorations/../figures/explorations/aquamaps-downscaled.png" id="207" name="Picture"/>
                    <pic:cNvPicPr>
                      <a:picLocks noChangeArrowheads="1" noChangeAspect="1"/>
                    </pic:cNvPicPr>
                  </pic:nvPicPr>
                  <pic:blipFill>
                    <a:blip r:embed="rId205"/>
                    <a:stretch>
                      <a:fillRect/>
                    </a:stretch>
                  </pic:blipFill>
                  <pic:spPr bwMode="auto">
                    <a:xfrm>
                      <a:off x="0" y="0"/>
                      <a:ext cx="5334000" cy="2760009"/>
                    </a:xfrm>
                    <a:prstGeom prst="rect">
                      <a:avLst/>
                    </a:prstGeom>
                    <a:noFill/>
                    <a:ln w="9525">
                      <a:noFill/>
                      <a:headEnd/>
                      <a:tailEnd/>
                    </a:ln>
                  </pic:spPr>
                </pic:pic>
              </a:graphicData>
            </a:graphic>
          </wp:inline>
        </w:drawing>
      </w:r>
    </w:p>
    <w:bookmarkEnd w:id="208"/>
    <w:bookmarkStart w:id="214"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49"/>
        </w:numPr>
      </w:pPr>
      <w:hyperlink r:id="rId209">
        <w:r>
          <w:rPr>
            <w:rStyle w:val="Hyperlink"/>
          </w:rPr>
          <w:t xml:space="preserve"> website</w:t>
        </w:r>
      </w:hyperlink>
    </w:p>
    <w:p>
      <w:pPr>
        <w:numPr>
          <w:ilvl w:val="0"/>
          <w:numId w:val="1049"/>
        </w:numPr>
      </w:pPr>
      <w:hyperlink r:id="rId210">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212" name="Picture"/>
            <a:graphic>
              <a:graphicData uri="http://schemas.openxmlformats.org/drawingml/2006/picture">
                <pic:pic>
                  <pic:nvPicPr>
                    <pic:cNvPr descr="https://marinebon.github.io/aquamaps-downscaled/index_files/figure-html/fig-blue_whale_env_yes-1.png" id="213" name="Picture"/>
                    <pic:cNvPicPr>
                      <a:picLocks noChangeArrowheads="1" noChangeAspect="1"/>
                    </pic:cNvPicPr>
                  </pic:nvPicPr>
                  <pic:blipFill>
                    <a:blip r:embed="rId211"/>
                    <a:stretch>
                      <a:fillRect/>
                    </a:stretch>
                  </pic:blipFill>
                  <pic:spPr bwMode="auto">
                    <a:xfrm>
                      <a:off x="0" y="0"/>
                      <a:ext cx="5334000" cy="3810000"/>
                    </a:xfrm>
                    <a:prstGeom prst="rect">
                      <a:avLst/>
                    </a:prstGeom>
                    <a:noFill/>
                    <a:ln w="9525">
                      <a:noFill/>
                      <a:headEnd/>
                      <a:tailEnd/>
                    </a:ln>
                  </pic:spPr>
                </pic:pic>
              </a:graphicData>
            </a:graphic>
          </wp:inline>
        </w:drawing>
      </w:r>
    </w:p>
    <w:bookmarkEnd w:id="214"/>
    <w:bookmarkStart w:id="220"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50"/>
        </w:numPr>
      </w:pPr>
      <w:hyperlink r:id="rId215">
        <w:r>
          <w:rPr>
            <w:rStyle w:val="Hyperlink"/>
          </w:rPr>
          <w:t xml:space="preserve"> website</w:t>
        </w:r>
      </w:hyperlink>
    </w:p>
    <w:p>
      <w:pPr>
        <w:numPr>
          <w:ilvl w:val="0"/>
          <w:numId w:val="1050"/>
        </w:numPr>
      </w:pPr>
      <w:hyperlink r:id="rId216">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218" name="Picture"/>
            <a:graphic>
              <a:graphicData uri="http://schemas.openxmlformats.org/drawingml/2006/picture">
                <pic:pic>
                  <pic:nvPicPr>
                    <pic:cNvPr descr="explorations/../figures/explorations/sdm-1_predicts.png" id="219" name="Picture"/>
                    <pic:cNvPicPr>
                      <a:picLocks noChangeArrowheads="1" noChangeAspect="1"/>
                    </pic:cNvPicPr>
                  </pic:nvPicPr>
                  <pic:blipFill>
                    <a:blip r:embed="rId217"/>
                    <a:stretch>
                      <a:fillRect/>
                    </a:stretch>
                  </pic:blipFill>
                  <pic:spPr bwMode="auto">
                    <a:xfrm>
                      <a:off x="0" y="0"/>
                      <a:ext cx="5334000" cy="2975867"/>
                    </a:xfrm>
                    <a:prstGeom prst="rect">
                      <a:avLst/>
                    </a:prstGeom>
                    <a:noFill/>
                    <a:ln w="9525">
                      <a:noFill/>
                      <a:headEnd/>
                      <a:tailEnd/>
                    </a:ln>
                  </pic:spPr>
                </pic:pic>
              </a:graphicData>
            </a:graphic>
          </wp:inline>
        </w:drawing>
      </w:r>
    </w:p>
    <w:bookmarkEnd w:id="220"/>
    <w:bookmarkStart w:id="226" w:name="obis-top-species-by-class"/>
    <w:p>
      <w:pPr>
        <w:pStyle w:val="Heading1"/>
      </w:pPr>
      <w:r>
        <w:t xml:space="preserve">OBIS Top Species by Class</w:t>
      </w:r>
    </w:p>
    <w:p>
      <w:pPr>
        <w:pStyle w:val="FirstParagraph"/>
      </w:pPr>
      <w:r>
        <w:t xml:space="preserve">Extract the species with the most numerous observations by unique Class from the OBIS parquet archive in R.</w:t>
      </w:r>
    </w:p>
    <w:p>
      <w:pPr>
        <w:numPr>
          <w:ilvl w:val="0"/>
          <w:numId w:val="1051"/>
        </w:numPr>
      </w:pPr>
      <w:hyperlink r:id="rId221">
        <w:r>
          <w:rPr>
            <w:rStyle w:val="Hyperlink"/>
          </w:rPr>
          <w:t xml:space="preserve"> website</w:t>
        </w:r>
      </w:hyperlink>
    </w:p>
    <w:p>
      <w:pPr>
        <w:numPr>
          <w:ilvl w:val="0"/>
          <w:numId w:val="1051"/>
        </w:numPr>
      </w:pPr>
      <w:hyperlink r:id="rId222">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224" name="Picture"/>
            <a:graphic>
              <a:graphicData uri="http://schemas.openxmlformats.org/drawingml/2006/picture">
                <pic:pic>
                  <pic:nvPicPr>
                    <pic:cNvPr descr="explorations/../figures/explorations/obis-top-spp-by-class.png" id="225" name="Picture"/>
                    <pic:cNvPicPr>
                      <a:picLocks noChangeArrowheads="1" noChangeAspect="1"/>
                    </pic:cNvPicPr>
                  </pic:nvPicPr>
                  <pic:blipFill>
                    <a:blip r:embed="rId223"/>
                    <a:stretch>
                      <a:fillRect/>
                    </a:stretch>
                  </pic:blipFill>
                  <pic:spPr bwMode="auto">
                    <a:xfrm>
                      <a:off x="0" y="0"/>
                      <a:ext cx="5334000" cy="3759000"/>
                    </a:xfrm>
                    <a:prstGeom prst="rect">
                      <a:avLst/>
                    </a:prstGeom>
                    <a:noFill/>
                    <a:ln w="9525">
                      <a:noFill/>
                      <a:headEnd/>
                      <a:tailEnd/>
                    </a:ln>
                  </pic:spPr>
                </pic:pic>
              </a:graphicData>
            </a:graphic>
          </wp:inline>
        </w:drawing>
      </w:r>
    </w:p>
    <w:bookmarkEnd w:id="2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05" Target="media/rId205.png" /><Relationship Type="http://schemas.openxmlformats.org/officeDocument/2006/relationships/image" Id="rId223" Target="media/rId223.png" /><Relationship Type="http://schemas.openxmlformats.org/officeDocument/2006/relationships/image" Id="rId217" Target="media/rId217.png" /><Relationship Type="http://schemas.openxmlformats.org/officeDocument/2006/relationships/image" Id="rId85" Target="media/rId85.png" /><Relationship Type="http://schemas.openxmlformats.org/officeDocument/2006/relationships/image" Id="rId99" Target="media/rId99.png" /><Relationship Type="http://schemas.openxmlformats.org/officeDocument/2006/relationships/image" Id="rId57" Target="media/rId57.png" /><Relationship Type="http://schemas.openxmlformats.org/officeDocument/2006/relationships/image" Id="rId95" Target="media/rId95.png" /><Relationship Type="http://schemas.openxmlformats.org/officeDocument/2006/relationships/image" Id="rId211" Target="media/rId211.png" /><Relationship Type="http://schemas.openxmlformats.org/officeDocument/2006/relationships/image" Id="rId32" Target="media/rId32.png" /><Relationship Type="http://schemas.openxmlformats.org/officeDocument/2006/relationships/image" Id="rId74" Target="media/rId74.png" /><Relationship Type="http://schemas.openxmlformats.org/officeDocument/2006/relationships/image" Id="rId47" Target="media/rId47.png" /><Relationship Type="http://schemas.openxmlformats.org/officeDocument/2006/relationships/hyperlink" Id="rId201" Target="MarineBON.org" TargetMode="External" /><Relationship Type="http://schemas.openxmlformats.org/officeDocument/2006/relationships/hyperlink" Id="rId124" Target="MarineSpeciesMaps.org" TargetMode="External" /><Relationship Type="http://schemas.openxmlformats.org/officeDocument/2006/relationships/hyperlink" Id="rId25" Target="OBIS.org" TargetMode="External" /><Relationship Type="http://schemas.openxmlformats.org/officeDocument/2006/relationships/hyperlink" Id="rId131" Target="Species%20distribution%20modeling,%20calibration%20and%20evaluation,%20ensemble%20modeling" TargetMode="External" /><Relationship Type="http://schemas.openxmlformats.org/officeDocument/2006/relationships/hyperlink" Id="rId167" Target="http://dx.doi.org/10.1111/j.1472-4642.2010.00725.x" TargetMode="External" /><Relationship Type="http://schemas.openxmlformats.org/officeDocument/2006/relationships/hyperlink" Id="rId147" Target="http://www.maraujolab.eu/inaugural-session-of-natura-connect-pt-think-thank/" TargetMode="External" /><Relationship Type="http://schemas.openxmlformats.org/officeDocument/2006/relationships/hyperlink" Id="rId119"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4"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8" Target="https://cran.rstudio.com/web/packages/ROCR/vignettes/ROCR.html" TargetMode="External" /><Relationship Type="http://schemas.openxmlformats.org/officeDocument/2006/relationships/hyperlink" Id="rId90" Target="https://developers.google.com/machine-learning/crash-course/classification/roc-and-auc" TargetMode="External" /><Relationship Type="http://schemas.openxmlformats.org/officeDocument/2006/relationships/hyperlink" Id="rId133" Target="https://docs.xarray.dev/en/stable/" TargetMode="External" /><Relationship Type="http://schemas.openxmlformats.org/officeDocument/2006/relationships/hyperlink" Id="rId161" Target="https://doi.org/10.1016/j.ecoinf.2023.102147" TargetMode="External" /><Relationship Type="http://schemas.openxmlformats.org/officeDocument/2006/relationships/hyperlink" Id="rId183" Target="https://doi.org/10.1016/j.ecolmodel.2005.03.026" TargetMode="External" /><Relationship Type="http://schemas.openxmlformats.org/officeDocument/2006/relationships/hyperlink" Id="rId187" Target="https://doi.org/10.1016/j.ecolmodel.2009.10.025" TargetMode="External" /><Relationship Type="http://schemas.openxmlformats.org/officeDocument/2006/relationships/hyperlink" Id="rId195" Target="https://doi.org/10.1016/j.marpol.2020.103927" TargetMode="External" /><Relationship Type="http://schemas.openxmlformats.org/officeDocument/2006/relationships/hyperlink" Id="rId169" Target="https://doi.org/10.1016/j.rse.2017.06.031" TargetMode="External" /><Relationship Type="http://schemas.openxmlformats.org/officeDocument/2006/relationships/hyperlink" Id="rId193" Target="https://doi.org/10.1038/nature09329" TargetMode="External" /><Relationship Type="http://schemas.openxmlformats.org/officeDocument/2006/relationships/hyperlink" Id="rId173" Target="https://doi.org/10.1038/nature11397" TargetMode="External" /><Relationship Type="http://schemas.openxmlformats.org/officeDocument/2006/relationships/hyperlink" Id="rId189" Target="https://doi.org/10.1038/srep22615" TargetMode="External" /><Relationship Type="http://schemas.openxmlformats.org/officeDocument/2006/relationships/hyperlink" Id="rId181" Target="https://doi.org/10.1111/ecog.03049" TargetMode="External" /><Relationship Type="http://schemas.openxmlformats.org/officeDocument/2006/relationships/hyperlink" Id="rId197" Target="https://doi.org/10.1111/ecog.04960" TargetMode="External" /><Relationship Type="http://schemas.openxmlformats.org/officeDocument/2006/relationships/hyperlink" Id="rId177" Target="https://doi.org/10.1111/ecog.06547" TargetMode="External" /><Relationship Type="http://schemas.openxmlformats.org/officeDocument/2006/relationships/hyperlink" Id="rId185" Target="https://doi.org/10.1111/j.0906-7590.2008.5203.x" TargetMode="External" /><Relationship Type="http://schemas.openxmlformats.org/officeDocument/2006/relationships/hyperlink" Id="rId159" Target="https://doi.org/10.1111/j.2041-210X.2011.00172.x" TargetMode="External" /><Relationship Type="http://schemas.openxmlformats.org/officeDocument/2006/relationships/hyperlink" Id="rId157" Target="https://doi.org/10.1126/sciadv.aat4858" TargetMode="External" /><Relationship Type="http://schemas.openxmlformats.org/officeDocument/2006/relationships/hyperlink" Id="rId163" Target="https://doi.org/10.1126/science.abo0526" TargetMode="External" /><Relationship Type="http://schemas.openxmlformats.org/officeDocument/2006/relationships/hyperlink" Id="rId165" Target="https://doi.org/10.1146/annurev.ecolsys.110308.120159" TargetMode="External" /><Relationship Type="http://schemas.openxmlformats.org/officeDocument/2006/relationships/hyperlink" Id="rId175"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43" Target="https://fishglob.sites.ucsc.edu/" TargetMode="External" /><Relationship Type="http://schemas.openxmlformats.org/officeDocument/2006/relationships/hyperlink" Id="rId135"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210" Target="https://github.com/marinebon/aquamaps-downscaled/blob/main/index.qmd" TargetMode="External" /><Relationship Type="http://schemas.openxmlformats.org/officeDocument/2006/relationships/hyperlink" Id="rId204" Target="https://github.com/marinebon/aquamaps-downscaled/tree/main/sp-map" TargetMode="External" /><Relationship Type="http://schemas.openxmlformats.org/officeDocument/2006/relationships/hyperlink" Id="rId222" Target="https://github.com/marinebon/sdm-explore/blob/main/explore_obis.qmd" TargetMode="External" /><Relationship Type="http://schemas.openxmlformats.org/officeDocument/2006/relationships/hyperlink" Id="rId216" Target="https://github.com/marinebon/sdm-explore/blob/main/sdm_1.qmd" TargetMode="External" /><Relationship Type="http://schemas.openxmlformats.org/officeDocument/2006/relationships/hyperlink" Id="rId191" Target="https://github.com/raquamaps/aquamapsdata" TargetMode="External" /><Relationship Type="http://schemas.openxmlformats.org/officeDocument/2006/relationships/hyperlink" Id="rId136"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209" Target="https://marinebon.github.io/aquamaps-downscaled/" TargetMode="External" /><Relationship Type="http://schemas.openxmlformats.org/officeDocument/2006/relationships/hyperlink" Id="rId104" Target="https://marinebon.github.io/gmbi/articles/calc.html#assign-taxonomic-groups" TargetMode="External" /><Relationship Type="http://schemas.openxmlformats.org/officeDocument/2006/relationships/hyperlink" Id="rId221" Target="https://marinebon.github.io/sdm-explore/explore_obis.html" TargetMode="External" /><Relationship Type="http://schemas.openxmlformats.org/officeDocument/2006/relationships/hyperlink" Id="rId215" Target="https://marinebon.github.io/sdm-explore/sdm_1.html" TargetMode="External" /><Relationship Type="http://schemas.openxmlformats.org/officeDocument/2006/relationships/hyperlink" Id="rId140" Target="https://marinebon.org/" TargetMode="External" /><Relationship Type="http://schemas.openxmlformats.org/officeDocument/2006/relationships/hyperlink" Id="rId145" Target="https://mgel.env.duke.edu/" TargetMode="External" /><Relationship Type="http://schemas.openxmlformats.org/officeDocument/2006/relationships/hyperlink" Id="rId146" Target="https://mpa-europe.eu/" TargetMode="External" /><Relationship Type="http://schemas.openxmlformats.org/officeDocument/2006/relationships/hyperlink" Id="rId141"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0" Target="https://seamap.env.duke.edu/models/" TargetMode="External" /><Relationship Type="http://schemas.openxmlformats.org/officeDocument/2006/relationships/hyperlink" Id="rId203" Target="https://shiny.marinebon.app/am-fine/" TargetMode="External" /><Relationship Type="http://schemas.openxmlformats.org/officeDocument/2006/relationships/hyperlink" Id="rId80" Target="https://topepo.github.io/caret/available-models.html" TargetMode="External" /><Relationship Type="http://schemas.openxmlformats.org/officeDocument/2006/relationships/hyperlink" Id="rId150" Target="https://wallaceecomod.github.io" TargetMode="External" /><Relationship Type="http://schemas.openxmlformats.org/officeDocument/2006/relationships/hyperlink" Id="rId139" Target="https://www.aquamaps.org/" TargetMode="External" /><Relationship Type="http://schemas.openxmlformats.org/officeDocument/2006/relationships/hyperlink" Id="rId123" Target="https://www.arcgis.com/index.html" TargetMode="External" /><Relationship Type="http://schemas.openxmlformats.org/officeDocument/2006/relationships/hyperlink" Id="rId122" Target="https://www.dataone.org/" TargetMode="External" /><Relationship Type="http://schemas.openxmlformats.org/officeDocument/2006/relationships/hyperlink" Id="rId142" Target="https://www.fishbase.org.au/v4" TargetMode="External" /><Relationship Type="http://schemas.openxmlformats.org/officeDocument/2006/relationships/hyperlink" Id="rId179"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71" Target="https://www.jstor.org/stable/43924357" TargetMode="External" /><Relationship Type="http://schemas.openxmlformats.org/officeDocument/2006/relationships/hyperlink" Id="rId144" Target="https://www.lenfestocean.org/en/research-projects/marine-biodiversity-dialogues-task-force-i" TargetMode="External" /><Relationship Type="http://schemas.openxmlformats.org/officeDocument/2006/relationships/hyperlink" Id="rId108" Target="https://www.natureserve.org/conservation-status-assessment" TargetMode="External" /><Relationship Type="http://schemas.openxmlformats.org/officeDocument/2006/relationships/hyperlink" Id="rId148" Target="https://www.nceas.ucsb.edu/" TargetMode="External" /><Relationship Type="http://schemas.openxmlformats.org/officeDocument/2006/relationships/hyperlink" Id="rId121" Target="https://www.ncei.noaa.gov/" TargetMode="External" /><Relationship Type="http://schemas.openxmlformats.org/officeDocument/2006/relationships/hyperlink" Id="rId30" Target="https://www.noaa.gov/america-the-beautiful" TargetMode="External" /><Relationship Type="http://schemas.openxmlformats.org/officeDocument/2006/relationships/hyperlink" Id="rId149"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201" Target="MarineBON.org" TargetMode="External" /><Relationship Type="http://schemas.openxmlformats.org/officeDocument/2006/relationships/hyperlink" Id="rId124" Target="MarineSpeciesMaps.org" TargetMode="External" /><Relationship Type="http://schemas.openxmlformats.org/officeDocument/2006/relationships/hyperlink" Id="rId25" Target="OBIS.org" TargetMode="External" /><Relationship Type="http://schemas.openxmlformats.org/officeDocument/2006/relationships/hyperlink" Id="rId131" Target="Species%20distribution%20modeling,%20calibration%20and%20evaluation,%20ensemble%20modeling" TargetMode="External" /><Relationship Type="http://schemas.openxmlformats.org/officeDocument/2006/relationships/hyperlink" Id="rId167" Target="http://dx.doi.org/10.1111/j.1472-4642.2010.00725.x" TargetMode="External" /><Relationship Type="http://schemas.openxmlformats.org/officeDocument/2006/relationships/hyperlink" Id="rId147" Target="http://www.maraujolab.eu/inaugural-session-of-natura-connect-pt-think-thank/" TargetMode="External" /><Relationship Type="http://schemas.openxmlformats.org/officeDocument/2006/relationships/hyperlink" Id="rId119"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4" Target="https://biomodhub.github.io/biomod2/" TargetMode="External" /><Relationship Type="http://schemas.openxmlformats.org/officeDocument/2006/relationships/hyperlink" Id="rId64"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6" Target="https://cran.r-project.org/web/packages/eks/vignettes/tidysf_kde.html" TargetMode="External" /><Relationship Type="http://schemas.openxmlformats.org/officeDocument/2006/relationships/hyperlink" Id="rId88" Target="https://cran.rstudio.com/web/packages/ROCR/vignettes/ROCR.html" TargetMode="External" /><Relationship Type="http://schemas.openxmlformats.org/officeDocument/2006/relationships/hyperlink" Id="rId90" Target="https://developers.google.com/machine-learning/crash-course/classification/roc-and-auc" TargetMode="External" /><Relationship Type="http://schemas.openxmlformats.org/officeDocument/2006/relationships/hyperlink" Id="rId133" Target="https://docs.xarray.dev/en/stable/" TargetMode="External" /><Relationship Type="http://schemas.openxmlformats.org/officeDocument/2006/relationships/hyperlink" Id="rId161" Target="https://doi.org/10.1016/j.ecoinf.2023.102147" TargetMode="External" /><Relationship Type="http://schemas.openxmlformats.org/officeDocument/2006/relationships/hyperlink" Id="rId183" Target="https://doi.org/10.1016/j.ecolmodel.2005.03.026" TargetMode="External" /><Relationship Type="http://schemas.openxmlformats.org/officeDocument/2006/relationships/hyperlink" Id="rId187" Target="https://doi.org/10.1016/j.ecolmodel.2009.10.025" TargetMode="External" /><Relationship Type="http://schemas.openxmlformats.org/officeDocument/2006/relationships/hyperlink" Id="rId195" Target="https://doi.org/10.1016/j.marpol.2020.103927" TargetMode="External" /><Relationship Type="http://schemas.openxmlformats.org/officeDocument/2006/relationships/hyperlink" Id="rId169" Target="https://doi.org/10.1016/j.rse.2017.06.031" TargetMode="External" /><Relationship Type="http://schemas.openxmlformats.org/officeDocument/2006/relationships/hyperlink" Id="rId193" Target="https://doi.org/10.1038/nature09329" TargetMode="External" /><Relationship Type="http://schemas.openxmlformats.org/officeDocument/2006/relationships/hyperlink" Id="rId173" Target="https://doi.org/10.1038/nature11397" TargetMode="External" /><Relationship Type="http://schemas.openxmlformats.org/officeDocument/2006/relationships/hyperlink" Id="rId189" Target="https://doi.org/10.1038/srep22615" TargetMode="External" /><Relationship Type="http://schemas.openxmlformats.org/officeDocument/2006/relationships/hyperlink" Id="rId181" Target="https://doi.org/10.1111/ecog.03049" TargetMode="External" /><Relationship Type="http://schemas.openxmlformats.org/officeDocument/2006/relationships/hyperlink" Id="rId197" Target="https://doi.org/10.1111/ecog.04960" TargetMode="External" /><Relationship Type="http://schemas.openxmlformats.org/officeDocument/2006/relationships/hyperlink" Id="rId177" Target="https://doi.org/10.1111/ecog.06547" TargetMode="External" /><Relationship Type="http://schemas.openxmlformats.org/officeDocument/2006/relationships/hyperlink" Id="rId185" Target="https://doi.org/10.1111/j.0906-7590.2008.5203.x" TargetMode="External" /><Relationship Type="http://schemas.openxmlformats.org/officeDocument/2006/relationships/hyperlink" Id="rId159" Target="https://doi.org/10.1111/j.2041-210X.2011.00172.x" TargetMode="External" /><Relationship Type="http://schemas.openxmlformats.org/officeDocument/2006/relationships/hyperlink" Id="rId157" Target="https://doi.org/10.1126/sciadv.aat4858" TargetMode="External" /><Relationship Type="http://schemas.openxmlformats.org/officeDocument/2006/relationships/hyperlink" Id="rId163" Target="https://doi.org/10.1126/science.abo0526" TargetMode="External" /><Relationship Type="http://schemas.openxmlformats.org/officeDocument/2006/relationships/hyperlink" Id="rId165" Target="https://doi.org/10.1146/annurev.ecolsys.110308.120159" TargetMode="External" /><Relationship Type="http://schemas.openxmlformats.org/officeDocument/2006/relationships/hyperlink" Id="rId175"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143" Target="https://fishglob.sites.ucsc.edu/" TargetMode="External" /><Relationship Type="http://schemas.openxmlformats.org/officeDocument/2006/relationships/hyperlink" Id="rId135"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210" Target="https://github.com/marinebon/aquamaps-downscaled/blob/main/index.qmd" TargetMode="External" /><Relationship Type="http://schemas.openxmlformats.org/officeDocument/2006/relationships/hyperlink" Id="rId204" Target="https://github.com/marinebon/aquamaps-downscaled/tree/main/sp-map" TargetMode="External" /><Relationship Type="http://schemas.openxmlformats.org/officeDocument/2006/relationships/hyperlink" Id="rId222" Target="https://github.com/marinebon/sdm-explore/blob/main/explore_obis.qmd" TargetMode="External" /><Relationship Type="http://schemas.openxmlformats.org/officeDocument/2006/relationships/hyperlink" Id="rId216" Target="https://github.com/marinebon/sdm-explore/blob/main/sdm_1.qmd" TargetMode="External" /><Relationship Type="http://schemas.openxmlformats.org/officeDocument/2006/relationships/hyperlink" Id="rId191" Target="https://github.com/raquamaps/aquamapsdata" TargetMode="External" /><Relationship Type="http://schemas.openxmlformats.org/officeDocument/2006/relationships/hyperlink" Id="rId136"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209" Target="https://marinebon.github.io/aquamaps-downscaled/" TargetMode="External" /><Relationship Type="http://schemas.openxmlformats.org/officeDocument/2006/relationships/hyperlink" Id="rId104" Target="https://marinebon.github.io/gmbi/articles/calc.html#assign-taxonomic-groups" TargetMode="External" /><Relationship Type="http://schemas.openxmlformats.org/officeDocument/2006/relationships/hyperlink" Id="rId221" Target="https://marinebon.github.io/sdm-explore/explore_obis.html" TargetMode="External" /><Relationship Type="http://schemas.openxmlformats.org/officeDocument/2006/relationships/hyperlink" Id="rId215" Target="https://marinebon.github.io/sdm-explore/sdm_1.html" TargetMode="External" /><Relationship Type="http://schemas.openxmlformats.org/officeDocument/2006/relationships/hyperlink" Id="rId140" Target="https://marinebon.org/" TargetMode="External" /><Relationship Type="http://schemas.openxmlformats.org/officeDocument/2006/relationships/hyperlink" Id="rId145" Target="https://mgel.env.duke.edu/" TargetMode="External" /><Relationship Type="http://schemas.openxmlformats.org/officeDocument/2006/relationships/hyperlink" Id="rId146" Target="https://mpa-europe.eu/" TargetMode="External" /><Relationship Type="http://schemas.openxmlformats.org/officeDocument/2006/relationships/hyperlink" Id="rId141"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0" Target="https://seamap.env.duke.edu/models/" TargetMode="External" /><Relationship Type="http://schemas.openxmlformats.org/officeDocument/2006/relationships/hyperlink" Id="rId203" Target="https://shiny.marinebon.app/am-fine/" TargetMode="External" /><Relationship Type="http://schemas.openxmlformats.org/officeDocument/2006/relationships/hyperlink" Id="rId80" Target="https://topepo.github.io/caret/available-models.html" TargetMode="External" /><Relationship Type="http://schemas.openxmlformats.org/officeDocument/2006/relationships/hyperlink" Id="rId150" Target="https://wallaceecomod.github.io" TargetMode="External" /><Relationship Type="http://schemas.openxmlformats.org/officeDocument/2006/relationships/hyperlink" Id="rId139" Target="https://www.aquamaps.org/" TargetMode="External" /><Relationship Type="http://schemas.openxmlformats.org/officeDocument/2006/relationships/hyperlink" Id="rId123" Target="https://www.arcgis.com/index.html" TargetMode="External" /><Relationship Type="http://schemas.openxmlformats.org/officeDocument/2006/relationships/hyperlink" Id="rId122" Target="https://www.dataone.org/" TargetMode="External" /><Relationship Type="http://schemas.openxmlformats.org/officeDocument/2006/relationships/hyperlink" Id="rId142" Target="https://www.fishbase.org.au/v4" TargetMode="External" /><Relationship Type="http://schemas.openxmlformats.org/officeDocument/2006/relationships/hyperlink" Id="rId179"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71" Target="https://www.jstor.org/stable/43924357" TargetMode="External" /><Relationship Type="http://schemas.openxmlformats.org/officeDocument/2006/relationships/hyperlink" Id="rId144" Target="https://www.lenfestocean.org/en/research-projects/marine-biodiversity-dialogues-task-force-i" TargetMode="External" /><Relationship Type="http://schemas.openxmlformats.org/officeDocument/2006/relationships/hyperlink" Id="rId108" Target="https://www.natureserve.org/conservation-status-assessment" TargetMode="External" /><Relationship Type="http://schemas.openxmlformats.org/officeDocument/2006/relationships/hyperlink" Id="rId148" Target="https://www.nceas.ucsb.edu/" TargetMode="External" /><Relationship Type="http://schemas.openxmlformats.org/officeDocument/2006/relationships/hyperlink" Id="rId121" Target="https://www.ncei.noaa.gov/" TargetMode="External" /><Relationship Type="http://schemas.openxmlformats.org/officeDocument/2006/relationships/hyperlink" Id="rId30" Target="https://www.noaa.gov/america-the-beautiful" TargetMode="External" /><Relationship Type="http://schemas.openxmlformats.org/officeDocument/2006/relationships/hyperlink" Id="rId149"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2023-12-05T17:40:15Z</dcterms:created>
  <dcterms:modified xsi:type="dcterms:W3CDTF">2023-12-05T17:40:15Z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2023-12-05</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