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92.png" ContentType="image/png"/>
  <Override PartName="/word/media/rId180.png" ContentType="image/png"/>
  <Override PartName="/word/media/rId205.png" ContentType="image/png"/>
  <Override PartName="/word/media/rId199.png" ContentType="image/png"/>
  <Override PartName="/word/media/rId86.png" ContentType="image/png"/>
  <Override PartName="/word/media/rId100.png" ContentType="image/png"/>
  <Override PartName="/word/media/rId58.png" ContentType="image/png"/>
  <Override PartName="/word/media/rId96.png" ContentType="image/png"/>
  <Override PartName="/word/media/rId186.png" ContentType="image/png"/>
  <Override PartName="/word/media/rId32.png" ContentType="image/png"/>
  <Override PartName="/word/media/rId7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Benjamin</w:t>
      </w:r>
      <w:r>
        <w:t xml:space="preserve"> </w:t>
      </w:r>
      <w:r>
        <w:t xml:space="preserve">D.</w:t>
      </w:r>
      <w:r>
        <w:t xml:space="preserve"> </w:t>
      </w:r>
      <w:r>
        <w:t xml:space="preserve">Best</w:t>
      </w:r>
    </w:p>
    <w:p>
      <w:pPr>
        <w:pStyle w:val="Date"/>
      </w:pPr>
      <w:r>
        <w:t xml:space="preserve">2023-12-20</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6"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 </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r>
        <w:t xml:space="preserve"> </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w:t>
      </w:r>
      <w:r>
        <w:t xml:space="preserve"> </w:t>
      </w:r>
      <w:r>
        <w:t xml:space="preserve">(Carroll, Noss, and Stein 2022)</w:t>
      </w:r>
      <w:r>
        <w:t xml:space="preserve"> </w:t>
      </w:r>
      <w:r>
        <w:t xml:space="preserve">for which</w:t>
      </w:r>
      <w:r>
        <w:t xml:space="preserve"> </w:t>
      </w:r>
      <w:r>
        <w:t xml:space="preserve">MBON</w:t>
      </w:r>
      <w:r>
        <w:t xml:space="preserve">Marine Biodiversity Observation Network; see MarineBON.org</w:t>
      </w:r>
      <w:r>
        <w:t xml:space="preserve"> </w:t>
      </w:r>
      <w:r>
        <w:t xml:space="preserve">is well poised to inform</w:t>
      </w:r>
      <w:r>
        <w:t xml:space="preserve"> </w:t>
      </w:r>
      <w:r>
        <w:t xml:space="preserve">(Fautin et al. 2010; Muller-Karger et al. 2018)</w:t>
      </w:r>
      <w:r>
        <w:t xml:space="preser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4" w:name="contribute"/>
    <w:p>
      <w:pPr>
        <w:pStyle w:val="Heading2"/>
      </w:pPr>
      <w:r>
        <w:t xml:space="preserve">1.5 Contribute</w:t>
      </w:r>
    </w:p>
    <w:p>
      <w:pPr>
        <w:pStyle w:val="FirstParagraph"/>
      </w:pPr>
      <w:r>
        <w:t xml:space="preserve">We very much welcome your feedback, contributions and collaboration. As soon as you contribute, we will add you to to the authors list. Here are a few ways to contribute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 See</w:t>
      </w:r>
      <w:r>
        <w:t xml:space="preserve"> </w:t>
      </w:r>
      <w:hyperlink r:id="rId43">
        <w:r>
          <w:rPr>
            <w:rStyle w:val="Hyperlink"/>
          </w:rPr>
          <w:t xml:space="preserve">Hello World - GitHub Docs</w:t>
        </w:r>
      </w:hyperlink>
      <w:r>
        <w:t xml:space="preserve">.</w:t>
      </w:r>
    </w:p>
    <w:p>
      <w:pPr>
        <w:numPr>
          <w:ilvl w:val="0"/>
          <w:numId w:val="1004"/>
        </w:numPr>
      </w:pPr>
      <w:r>
        <w:t xml:space="preserve">If you are a regular contributor, you can be added to the collaborators of this repository to push changes directly (without needing a pull request).</w:t>
      </w:r>
    </w:p>
    <w:bookmarkEnd w:id="44"/>
    <w:bookmarkStart w:id="45"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5"/>
    <w:bookmarkEnd w:id="46"/>
    <w:bookmarkStart w:id="47"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7"/>
    <w:bookmarkStart w:id="56"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1" w:name="fig-prep"/>
          <w:p>
            <w:pPr>
              <w:jc w:val="center"/>
            </w:pPr>
            <w:r>
              <w:drawing>
                <wp:inline>
                  <wp:extent cx="5334000" cy="2252133"/>
                  <wp:effectExtent b="0" l="0" r="0" t="0"/>
                  <wp:docPr descr="" title="" id="49" name="Picture"/>
                  <a:graphic>
                    <a:graphicData uri="http://schemas.openxmlformats.org/drawingml/2006/picture">
                      <pic:pic>
                        <pic:nvPicPr>
                          <pic:cNvPr descr="prep_files/figure-docx/mermaid-figure-1.png" id="50" name="Picture"/>
                          <pic:cNvPicPr>
                            <a:picLocks noChangeArrowheads="1" noChangeAspect="1"/>
                          </pic:cNvPicPr>
                        </pic:nvPicPr>
                        <pic:blipFill>
                          <a:blip r:embed="rId48"/>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1"/>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5" w:name="environmental-predictors"/>
    <w:p>
      <w:pPr>
        <w:pStyle w:val="Heading2"/>
      </w:pPr>
      <w:r>
        <w:t xml:space="preserve">3.1 Environmental Predictors</w:t>
      </w:r>
    </w:p>
    <w:bookmarkStart w:id="52"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2"/>
    <w:bookmarkStart w:id="53"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3"/>
    <w:bookmarkStart w:id="54"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4"/>
    <w:bookmarkEnd w:id="55"/>
    <w:bookmarkEnd w:id="56"/>
    <w:bookmarkStart w:id="64"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1" w:name="fig-eks"/>
          <w:p>
            <w:pPr>
              <w:jc w:val="center"/>
            </w:pPr>
            <w:r>
              <w:drawing>
                <wp:inline>
                  <wp:extent cx="4620126" cy="4620126"/>
                  <wp:effectExtent b="0" l="0" r="0" t="0"/>
                  <wp:docPr descr="" title="" id="59" name="Picture"/>
                  <a:graphic>
                    <a:graphicData uri="http://schemas.openxmlformats.org/drawingml/2006/picture">
                      <pic:pic>
                        <pic:nvPicPr>
                          <pic:cNvPr descr="figures/software/eks.png" id="60"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1"/>
        </w:tc>
      </w:tr>
    </w:tbl>
    <w:bookmarkStart w:id="62" w:name="fetch-obis"/>
    <w:p>
      <w:pPr>
        <w:pStyle w:val="Heading2"/>
      </w:pPr>
      <w:r>
        <w:t xml:space="preserve">4.1 Fetch OBIS</w:t>
      </w:r>
    </w:p>
    <w:bookmarkEnd w:id="62"/>
    <w:bookmarkStart w:id="63" w:name="filter-occurrences"/>
    <w:p>
      <w:pPr>
        <w:pStyle w:val="Heading2"/>
      </w:pPr>
      <w:r>
        <w:t xml:space="preserve">4.2 Filter occurrences</w:t>
      </w:r>
    </w:p>
    <w:bookmarkEnd w:id="63"/>
    <w:bookmarkEnd w:id="64"/>
    <w:bookmarkStart w:id="69"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5">
        <w:r>
          <w:rPr>
            <w:rStyle w:val="Hyperlink"/>
          </w:rPr>
          <w:t xml:space="preserve">Pseudo-absences • biomod2</w:t>
        </w:r>
      </w:hyperlink>
    </w:p>
    <w:p>
      <w:pPr>
        <w:numPr>
          <w:ilvl w:val="1"/>
          <w:numId w:val="1015"/>
        </w:numPr>
        <w:pStyle w:val="Compact"/>
      </w:pPr>
      <w:r>
        <w:t xml:space="preserve">(Barbet-Massin et al. 2012)</w:t>
      </w:r>
    </w:p>
    <w:bookmarkStart w:id="66"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6"/>
    <w:bookmarkStart w:id="67"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7"/>
    <w:bookmarkStart w:id="68"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8"/>
    <w:bookmarkEnd w:id="69"/>
    <w:bookmarkStart w:id="74"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Environmental data are used to fit the model and predict distribution onto the seascape, e.g.</w:t>
      </w:r>
      <w:r>
        <w:t xml:space="preserve"> </w:t>
      </w:r>
      <w:hyperlink w:anchor="tbl-Roberts2016-env">
        <w:r>
          <w:rPr>
            <w:rStyle w:val="Hyperlink"/>
          </w:rPr>
          <w:t xml:space="preserve">Table 6.1</w:t>
        </w:r>
      </w:hyperlink>
      <w:r>
        <w:t xml:space="preserve">.</w:t>
      </w:r>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here, knitr, readr)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(readr)</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NormalTok"/>
        </w:rPr>
        <w:t xml:space="preserve">  </w:t>
      </w:r>
      <w:r>
        <w:rPr>
          <w:rStyle w:val="FunctionTok"/>
        </w:rPr>
        <w:t xml:space="preserve">here</w:t>
      </w:r>
      <w:r>
        <w:rPr>
          <w:rStyle w:val="NormalTok"/>
        </w:rPr>
        <w:t xml:space="preserve">(</w:t>
      </w:r>
      <w:r>
        <w:rPr>
          <w:rStyle w:val="StringTok"/>
        </w:rPr>
        <w:t xml:space="preserve">"data/Roberts-2016_env-predictors.csv"</w:t>
      </w:r>
      <w:r>
        <w:rPr>
          <w:rStyle w:val="NormalTok"/>
        </w:rPr>
        <w:t xml:space="preserve">),</w:t>
      </w:r>
      <w:r>
        <w:br/>
      </w:r>
      <w:r>
        <w:rPr>
          <w:rStyle w:val="NormalTok"/>
        </w:rPr>
        <w:t xml:space="preserve">  </w:t>
      </w:r>
      <w:r>
        <w:rPr>
          <w:rStyle w:val="AttributeTok"/>
        </w:rPr>
        <w:t xml:space="preserve">show_col_types =</w:t>
      </w:r>
      <w:r>
        <w:rPr>
          <w:rStyle w:val="NormalTok"/>
        </w:rPr>
        <w:t xml:space="preserve"> F)</w:t>
      </w:r>
      <w:r>
        <w:br/>
      </w:r>
      <w:r>
        <w:br/>
      </w:r>
      <w:r>
        <w:rPr>
          <w:rStyle w:val="FunctionTok"/>
        </w:rPr>
        <w:t xml:space="preserve">options</w:t>
      </w:r>
      <w:r>
        <w:rPr>
          <w:rStyle w:val="NormalTok"/>
        </w:rPr>
        <w:t xml:space="preserve">(</w:t>
      </w:r>
      <w:r>
        <w:rPr>
          <w:rStyle w:val="AttributeTok"/>
        </w:rPr>
        <w:t xml:space="preserve">knitr.kable.NA =</w:t>
      </w:r>
      <w:r>
        <w:rPr>
          <w:rStyle w:val="NormalTok"/>
        </w:rPr>
        <w:t xml:space="preserve"> </w:t>
      </w:r>
      <w:r>
        <w:rPr>
          <w:rStyle w:val="StringTok"/>
        </w:rPr>
        <w:t xml:space="preserve">''</w:t>
      </w:r>
      <w:r>
        <w:rPr>
          <w:rStyle w:val="NormalTok"/>
        </w:rPr>
        <w:t xml:space="preserve">)</w:t>
      </w:r>
      <w:r>
        <w:br/>
      </w:r>
      <w:r>
        <w:rPr>
          <w:rStyle w:val="FunctionTok"/>
        </w:rPr>
        <w:t xml:space="preserve">kable</w:t>
      </w:r>
      <w:r>
        <w:rPr>
          <w:rStyle w:val="NormalTok"/>
        </w:rPr>
        <w:t xml:space="preserve">(d, </w:t>
      </w:r>
      <w:r>
        <w:rPr>
          <w:rStyle w:val="AttributeTok"/>
        </w:rPr>
        <w:t xml:space="preserve">format=</w:t>
      </w:r>
      <w:r>
        <w:rPr>
          <w:rStyle w:val="StringTok"/>
        </w:rPr>
        <w:t xml:space="preserve">"pipe"</w:t>
      </w:r>
      <w:r>
        <w:rPr>
          <w:rStyle w:val="NormalTok"/>
        </w:rPr>
        <w:t xml:space="preserve">)</w:t>
      </w:r>
    </w:p>
    <w:bookmarkStart w:id="70" w:name="tbl-Roberts2016-env"/>
    <w:p>
      <w:pPr>
        <w:pStyle w:val="TableCaption"/>
      </w:pPr>
      <w:r>
        <w:t xml:space="preserve">Table 6.1: Example of environmental predictors from Roberts et al.</w:t>
      </w:r>
      <w:r>
        <w:t xml:space="preserve"> </w:t>
      </w:r>
      <w:r>
        <w:t xml:space="preserve">(2016)</w:t>
      </w:r>
      <w:r>
        <w:t xml:space="preserve">.</w:t>
      </w:r>
    </w:p>
    <w:tbl>
      <w:tblPr>
        <w:tblStyle w:val="Table"/>
        <w:tblW w:type="pct" w:w="5000"/>
        <w:tblLook w:firstRow="1" w:lastRow="0" w:firstColumn="0" w:lastColumn="0" w:noHBand="0" w:noVBand="0" w:val="0020"/>
        <w:jc w:val="start"/>
        <w:tblCaption w:val="Table 6.1: Example of environmental predictors from Roberts et al. (2016)."/>
      </w:tblPr>
      <w:tblGrid>
        <w:gridCol w:w="1141"/>
        <w:gridCol w:w="326"/>
        <w:gridCol w:w="256"/>
        <w:gridCol w:w="6196"/>
      </w:tblGrid>
      <w:tr>
        <w:trPr>
          <w:tblHeader w:val="true"/>
        </w:trPr>
        <w:tc>
          <w:tcPr/>
          <w:p>
            <w:pPr>
              <w:pStyle w:val="Compact"/>
              <w:jc w:val="left"/>
            </w:pPr>
            <w:r>
              <w:rPr>
                <w:bCs/>
                <w:b/>
              </w:rPr>
              <w:t xml:space="preserve">Type</w:t>
            </w:r>
            <w:r>
              <w:t xml:space="preserve"> </w:t>
            </w:r>
            <w:r>
              <w:t xml:space="preserve">/</w:t>
            </w:r>
            <w:r>
              <w:t xml:space="preserve">Covariates</w:t>
            </w:r>
          </w:p>
        </w:tc>
        <w:tc>
          <w:tcPr/>
          <w:p>
            <w:pPr>
              <w:pStyle w:val="Compact"/>
              <w:jc w:val="left"/>
            </w:pPr>
            <w:r>
              <w:t xml:space="preserve">Resolution</w:t>
            </w:r>
          </w:p>
        </w:tc>
        <w:tc>
          <w:tcPr/>
          <w:p>
            <w:pPr>
              <w:pStyle w:val="Compact"/>
              <w:jc w:val="left"/>
            </w:pPr>
            <w:r>
              <w:t xml:space="preserve">Time range</w:t>
            </w:r>
          </w:p>
        </w:tc>
        <w:tc>
          <w:tcPr/>
          <w:p>
            <w:pPr>
              <w:pStyle w:val="Compact"/>
              <w:jc w:val="left"/>
            </w:pPr>
            <w:r>
              <w:t xml:space="preserve">Description</w:t>
            </w:r>
          </w:p>
        </w:tc>
      </w:tr>
      <w:tr>
        <w:tc>
          <w:tcPr/>
          <w:p>
            <w:pPr>
              <w:pStyle w:val="Compact"/>
              <w:jc w:val="left"/>
            </w:pPr>
            <w:r>
              <w:rPr>
                <w:bCs/>
                <w:b/>
              </w:rPr>
              <w:t xml:space="preserve">Physiographic</w:t>
            </w:r>
          </w:p>
        </w:tc>
        <w:tc>
          <w:tcPr/>
          <w:p>
            <w:pPr>
              <w:pStyle w:val="Compact"/>
            </w:pPr>
          </w:p>
        </w:tc>
        <w:tc>
          <w:tcPr/>
          <w:p>
            <w:pPr>
              <w:pStyle w:val="Compact"/>
            </w:pPr>
          </w:p>
        </w:tc>
        <w:tc>
          <w:tcPr/>
          <w:p>
            <w:pPr>
              <w:pStyle w:val="Compact"/>
            </w:pPr>
          </w:p>
        </w:tc>
      </w:tr>
      <w:tr>
        <w:tc>
          <w:tcPr/>
          <w:p>
            <w:pPr>
              <w:pStyle w:val="Compact"/>
              <w:jc w:val="left"/>
            </w:pPr>
            <w:r>
              <w:t xml:space="preserve">Depth, Slope</w:t>
            </w:r>
          </w:p>
        </w:tc>
        <w:tc>
          <w:tcPr/>
          <w:p>
            <w:pPr>
              <w:pStyle w:val="Compact"/>
              <w:jc w:val="left"/>
            </w:pPr>
            <w:r>
              <w:t xml:space="preserve">30 arc sec</w:t>
            </w:r>
          </w:p>
        </w:tc>
        <w:tc>
          <w:tcPr/>
          <w:p>
            <w:pPr>
              <w:pStyle w:val="Compact"/>
            </w:pPr>
          </w:p>
        </w:tc>
        <w:tc>
          <w:tcPr/>
          <w:p>
            <w:pPr>
              <w:pStyle w:val="Compact"/>
              <w:jc w:val="left"/>
            </w:pPr>
            <w:r>
              <w:t xml:space="preserve">Seafloor depth and slope, derived from SRTM30-PLUS global bathymetry20</w:t>
            </w:r>
          </w:p>
        </w:tc>
      </w:tr>
      <w:tr>
        <w:tc>
          <w:tcPr/>
          <w:p>
            <w:pPr>
              <w:pStyle w:val="Compact"/>
              <w:jc w:val="left"/>
            </w:pPr>
            <w:r>
              <w:t xml:space="preserve">DistToShore, DistTo125m, DistTo300m, DistTo1500m</w:t>
            </w:r>
          </w:p>
        </w:tc>
        <w:tc>
          <w:tcPr/>
          <w:p>
            <w:pPr>
              <w:pStyle w:val="Compact"/>
              <w:jc w:val="left"/>
            </w:pPr>
            <w:r>
              <w:t xml:space="preserve">30 arc sec</w:t>
            </w:r>
          </w:p>
        </w:tc>
        <w:tc>
          <w:tcPr/>
          <w:p>
            <w:pPr>
              <w:pStyle w:val="Compact"/>
            </w:pPr>
          </w:p>
        </w:tc>
        <w:tc>
          <w:tcPr/>
          <w:p>
            <w:pPr>
              <w:pStyle w:val="Compact"/>
              <w:jc w:val="left"/>
            </w:pPr>
            <w:r>
              <w:t xml:space="preserve">Distance to the closest shoreline, excluding Bermuda and Sable Island, and various ecologically-relevant isobaths20</w:t>
            </w:r>
          </w:p>
        </w:tc>
      </w:tr>
      <w:tr>
        <w:tc>
          <w:tcPr/>
          <w:p>
            <w:pPr>
              <w:pStyle w:val="Compact"/>
              <w:jc w:val="left"/>
            </w:pPr>
            <w:r>
              <w:t xml:space="preserve">DistToCanyon, DistToCanyon OrSeamount</w:t>
            </w:r>
          </w:p>
        </w:tc>
        <w:tc>
          <w:tcPr/>
          <w:p>
            <w:pPr>
              <w:pStyle w:val="Compact"/>
              <w:jc w:val="left"/>
            </w:pPr>
            <w:r>
              <w:t xml:space="preserve">30 arc sec</w:t>
            </w:r>
          </w:p>
        </w:tc>
        <w:tc>
          <w:tcPr/>
          <w:p>
            <w:pPr>
              <w:pStyle w:val="Compact"/>
            </w:pPr>
          </w:p>
        </w:tc>
        <w:tc>
          <w:tcPr/>
          <w:p>
            <w:pPr>
              <w:pStyle w:val="Compact"/>
              <w:jc w:val="left"/>
            </w:pPr>
            <w:r>
              <w:t xml:space="preserve">Distance to the closest submarine canyon, and to the closest canyon or seamount21</w:t>
            </w:r>
          </w:p>
        </w:tc>
      </w:tr>
      <w:tr>
        <w:tc>
          <w:tcPr/>
          <w:p>
            <w:pPr>
              <w:pStyle w:val="Compact"/>
              <w:jc w:val="left"/>
            </w:pPr>
            <w:r>
              <w:rPr>
                <w:bCs/>
                <w:b/>
              </w:rPr>
              <w:t xml:space="preserve">SST &amp; Winds</w:t>
            </w:r>
          </w:p>
        </w:tc>
        <w:tc>
          <w:tcPr/>
          <w:p>
            <w:pPr>
              <w:pStyle w:val="Compact"/>
            </w:pPr>
          </w:p>
        </w:tc>
        <w:tc>
          <w:tcPr/>
          <w:p>
            <w:pPr>
              <w:pStyle w:val="Compact"/>
            </w:pPr>
          </w:p>
        </w:tc>
        <w:tc>
          <w:tcPr/>
          <w:p>
            <w:pPr>
              <w:pStyle w:val="Compact"/>
            </w:pPr>
          </w:p>
        </w:tc>
      </w:tr>
      <w:tr>
        <w:tc>
          <w:tcPr/>
          <w:p>
            <w:pPr>
              <w:pStyle w:val="Compact"/>
              <w:jc w:val="left"/>
            </w:pPr>
            <w:r>
              <w:t xml:space="preserve">SST, DistToFront</w:t>
            </w:r>
          </w:p>
        </w:tc>
        <w:tc>
          <w:tcPr/>
          <w:p>
            <w:pPr>
              <w:pStyle w:val="Compact"/>
              <w:jc w:val="left"/>
            </w:pPr>
            <w:r>
              <w:t xml:space="preserve">0.2°, daily</w:t>
            </w:r>
          </w:p>
        </w:tc>
        <w:tc>
          <w:tcPr/>
          <w:p>
            <w:pPr>
              <w:pStyle w:val="Compact"/>
              <w:jc w:val="left"/>
            </w:pPr>
            <w:r>
              <w:t xml:space="preserve">1991-2014</w:t>
            </w:r>
          </w:p>
        </w:tc>
        <w:tc>
          <w:tcPr/>
          <w:p>
            <w:pPr>
              <w:pStyle w:val="Compact"/>
              <w:jc w:val="left"/>
            </w:pPr>
            <w:r>
              <w:t xml:space="preserve">Foundation sea surface temperature (SST), from GHRSST Level 4 CMC SST22, and distance to the closest SST front identified with the Canny edge detection algorithm23</w:t>
            </w:r>
          </w:p>
        </w:tc>
      </w:tr>
      <w:tr>
        <w:tc>
          <w:tcPr/>
          <w:p>
            <w:pPr>
              <w:pStyle w:val="Compact"/>
              <w:jc w:val="left"/>
            </w:pPr>
            <w:r>
              <w:t xml:space="preserve">WindSpeed</w:t>
            </w:r>
          </w:p>
        </w:tc>
        <w:tc>
          <w:tcPr/>
          <w:p>
            <w:pPr>
              <w:pStyle w:val="Compact"/>
              <w:jc w:val="left"/>
            </w:pPr>
            <w:r>
              <w:t xml:space="preserve">0.25°, daily</w:t>
            </w:r>
          </w:p>
        </w:tc>
        <w:tc>
          <w:tcPr/>
          <w:p>
            <w:pPr>
              <w:pStyle w:val="Compact"/>
              <w:jc w:val="left"/>
            </w:pPr>
            <w:r>
              <w:t xml:space="preserve">1991-2014</w:t>
            </w:r>
          </w:p>
        </w:tc>
        <w:tc>
          <w:tcPr/>
          <w:p>
            <w:pPr>
              <w:pStyle w:val="Compact"/>
              <w:jc w:val="left"/>
            </w:pPr>
            <w:r>
              <w:t xml:space="preserve">30-day running mean of NOAA NCDC 1/4° Blended Sea Winds24</w:t>
            </w:r>
          </w:p>
        </w:tc>
      </w:tr>
      <w:tr>
        <w:tc>
          <w:tcPr/>
          <w:p>
            <w:pPr>
              <w:pStyle w:val="Compact"/>
              <w:jc w:val="left"/>
            </w:pPr>
            <w:r>
              <w:rPr>
                <w:bCs/>
                <w:b/>
              </w:rPr>
              <w:t xml:space="preserve">Currents</w:t>
            </w:r>
          </w:p>
        </w:tc>
        <w:tc>
          <w:tcPr/>
          <w:p>
            <w:pPr>
              <w:pStyle w:val="Compact"/>
            </w:pPr>
          </w:p>
        </w:tc>
        <w:tc>
          <w:tcPr/>
          <w:p>
            <w:pPr>
              <w:pStyle w:val="Compact"/>
            </w:pPr>
          </w:p>
        </w:tc>
        <w:tc>
          <w:tcPr/>
          <w:p>
            <w:pPr>
              <w:pStyle w:val="Compact"/>
            </w:pPr>
          </w:p>
        </w:tc>
      </w:tr>
      <w:tr>
        <w:tc>
          <w:tcPr/>
          <w:p>
            <w:pPr>
              <w:pStyle w:val="Compact"/>
              <w:jc w:val="left"/>
            </w:pPr>
            <w:r>
              <w:t xml:space="preserve">TKE, EKE</w:t>
            </w:r>
          </w:p>
        </w:tc>
        <w:tc>
          <w:tcPr/>
          <w:p>
            <w:pPr>
              <w:pStyle w:val="Compact"/>
              <w:jc w:val="left"/>
            </w:pPr>
            <w:r>
              <w:t xml:space="preserve">0.25°, daily</w:t>
            </w:r>
          </w:p>
        </w:tc>
        <w:tc>
          <w:tcPr/>
          <w:p>
            <w:pPr>
              <w:pStyle w:val="Compact"/>
              <w:jc w:val="left"/>
            </w:pPr>
            <w:r>
              <w:t xml:space="preserve">1993-2013</w:t>
            </w:r>
          </w:p>
        </w:tc>
        <w:tc>
          <w:tcPr/>
          <w:p>
            <w:pPr>
              <w:pStyle w:val="Compact"/>
              <w:jc w:val="left"/>
            </w:pPr>
            <w:r>
              <w:t xml:space="preserve">Total kinetic energy (TKE) and eddy kinetic energy (EKE), from Aviso 1/4° DT-MADT geostrophic currents</w:t>
            </w:r>
          </w:p>
        </w:tc>
      </w:tr>
      <w:tr>
        <w:tc>
          <w:tcPr/>
          <w:p>
            <w:pPr>
              <w:pStyle w:val="Compact"/>
              <w:jc w:val="left"/>
            </w:pPr>
            <w:r>
              <w:t xml:space="preserve">DistToEddy, DistToAEddy, DistToCEddy</w:t>
            </w:r>
          </w:p>
        </w:tc>
        <w:tc>
          <w:tcPr/>
          <w:p>
            <w:pPr>
              <w:pStyle w:val="Compact"/>
              <w:jc w:val="left"/>
            </w:pPr>
            <w:r>
              <w:t xml:space="preserve">0.25°, weekly</w:t>
            </w:r>
          </w:p>
        </w:tc>
        <w:tc>
          <w:tcPr/>
          <w:p>
            <w:pPr>
              <w:pStyle w:val="Compact"/>
              <w:jc w:val="left"/>
            </w:pPr>
            <w:r>
              <w:t xml:space="preserve">1993-2013</w:t>
            </w:r>
          </w:p>
        </w:tc>
        <w:tc>
          <w:tcPr/>
          <w:p>
            <w:pPr>
              <w:pStyle w:val="Compact"/>
              <w:jc w:val="left"/>
            </w:pPr>
            <w:r>
              <w:t xml:space="preserve">Distance to the ring of the closest geostrophic eddy having any (DistToEddy), anticyclonic (DistToAEddy), or cyclonic (DistToCEddy) polarity, from Aviso 1/4° DT-MADT using a revision of the Chelton et al. algorithm25; we tested eddies at least 9, 4, and 0 weeks old</w:t>
            </w:r>
          </w:p>
        </w:tc>
      </w:tr>
      <w:tr>
        <w:tc>
          <w:tcPr/>
          <w:p>
            <w:pPr>
              <w:pStyle w:val="Compact"/>
              <w:jc w:val="left"/>
            </w:pPr>
            <w:r>
              <w:rPr>
                <w:bCs/>
                <w:b/>
              </w:rPr>
              <w:t xml:space="preserve">Biological</w:t>
            </w:r>
          </w:p>
        </w:tc>
        <w:tc>
          <w:tcPr/>
          <w:p>
            <w:pPr>
              <w:pStyle w:val="Compact"/>
            </w:pPr>
          </w:p>
        </w:tc>
        <w:tc>
          <w:tcPr/>
          <w:p>
            <w:pPr>
              <w:pStyle w:val="Compact"/>
            </w:pPr>
          </w:p>
        </w:tc>
        <w:tc>
          <w:tcPr/>
          <w:p>
            <w:pPr>
              <w:pStyle w:val="Compact"/>
            </w:pPr>
          </w:p>
        </w:tc>
      </w:tr>
      <w:tr>
        <w:tc>
          <w:tcPr/>
          <w:p>
            <w:pPr>
              <w:pStyle w:val="Compact"/>
              <w:jc w:val="left"/>
            </w:pPr>
            <w:r>
              <w:t xml:space="preserve">Chl</w:t>
            </w:r>
          </w:p>
        </w:tc>
        <w:tc>
          <w:tcPr/>
          <w:p>
            <w:pPr>
              <w:pStyle w:val="Compact"/>
              <w:jc w:val="left"/>
            </w:pPr>
            <w:r>
              <w:t xml:space="preserve">9 km, daily</w:t>
            </w:r>
          </w:p>
        </w:tc>
        <w:tc>
          <w:tcPr/>
          <w:p>
            <w:pPr>
              <w:pStyle w:val="Compact"/>
              <w:jc w:val="left"/>
            </w:pPr>
            <w:r>
              <w:t xml:space="preserve">1997-2014</w:t>
            </w:r>
          </w:p>
        </w:tc>
        <w:tc>
          <w:tcPr/>
          <w:p>
            <w:pPr>
              <w:pStyle w:val="Compact"/>
              <w:jc w:val="left"/>
            </w:pPr>
            <w:r>
              <w:t xml:space="preserve">GSM merged SeaWiFS/Aqua/MERIS/VIIRS chlorophyll (Chl) a concentration26, smoothed with a 3D Gaussian smoother to reduce data loss to &lt; 10%</w:t>
            </w:r>
          </w:p>
        </w:tc>
      </w:tr>
      <w:tr>
        <w:tc>
          <w:tcPr/>
          <w:p>
            <w:pPr>
              <w:pStyle w:val="Compact"/>
              <w:jc w:val="left"/>
            </w:pPr>
            <w:r>
              <w:t xml:space="preserve">VGPM, CumVGPM45, CumVGPM90</w:t>
            </w:r>
          </w:p>
        </w:tc>
        <w:tc>
          <w:tcPr/>
          <w:p>
            <w:pPr>
              <w:pStyle w:val="Compact"/>
              <w:jc w:val="left"/>
            </w:pPr>
            <w:r>
              <w:t xml:space="preserve">9 km, 8 days</w:t>
            </w:r>
          </w:p>
        </w:tc>
        <w:tc>
          <w:tcPr/>
          <w:p>
            <w:pPr>
              <w:pStyle w:val="Compact"/>
              <w:jc w:val="left"/>
            </w:pPr>
            <w:r>
              <w:t xml:space="preserve">1997-2014</w:t>
            </w:r>
          </w:p>
        </w:tc>
        <w:tc>
          <w:tcPr/>
          <w:p>
            <w:pPr>
              <w:pStyle w:val="Compact"/>
              <w:jc w:val="left"/>
            </w:pPr>
            <w:r>
              <w:t xml:space="preserve">Net primary production (mg C m-2 day-1) derived from SeaWiFS and Aqua using the Vertically Generalized Production Model (VPGM)27; we tested the original 8 day estimates as well as 45 and 90 day running accumulations</w:t>
            </w:r>
          </w:p>
        </w:tc>
      </w:tr>
      <w:tr>
        <w:tc>
          <w:tcPr/>
          <w:p>
            <w:pPr>
              <w:pStyle w:val="Compact"/>
              <w:jc w:val="left"/>
            </w:pPr>
            <w:r>
              <w:t xml:space="preserve">PkPP, PkPB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Zooplankton production (PkPP; g m-2 day-1) and biomass (PkPB; g m-2) from the SEAPODYM ocean model28</w:t>
            </w:r>
          </w:p>
        </w:tc>
      </w:tr>
      <w:tr>
        <w:tc>
          <w:tcPr/>
          <w:p>
            <w:pPr>
              <w:pStyle w:val="Compact"/>
              <w:jc w:val="left"/>
            </w:pPr>
            <w:r>
              <w:t xml:space="preserve">EpiMnkPP, EpiMnkPB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Epipelagic micronekton production (EpiMnkPP; g m-2 day-1) and biomass (EpiMnkPB; g m-2) from the SEAPODYM model(28)</w:t>
            </w:r>
          </w:p>
        </w:tc>
      </w:tr>
    </w:tbl>
    <w:bookmarkEnd w:id="70"/>
    <w:bookmarkStart w:id="71"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71"/>
    <w:bookmarkStart w:id="72"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2"/>
    <w:bookmarkStart w:id="73"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3"/>
    <w:bookmarkEnd w:id="74"/>
    <w:bookmarkStart w:id="79"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8" w:name="fig-model"/>
          <w:p>
            <w:pPr>
              <w:jc w:val="center"/>
            </w:pPr>
            <w:r>
              <w:drawing>
                <wp:inline>
                  <wp:extent cx="5334000" cy="1553307"/>
                  <wp:effectExtent b="0" l="0" r="0" t="0"/>
                  <wp:docPr descr="" title="" id="76" name="Picture"/>
                  <a:graphic>
                    <a:graphicData uri="http://schemas.openxmlformats.org/drawingml/2006/picture">
                      <pic:pic>
                        <pic:nvPicPr>
                          <pic:cNvPr descr="model_files/figure-docx/mermaid-figure-1.png" id="77" name="Picture"/>
                          <pic:cNvPicPr>
                            <a:picLocks noChangeArrowheads="1" noChangeAspect="1"/>
                          </pic:cNvPicPr>
                        </pic:nvPicPr>
                        <pic:blipFill>
                          <a:blip r:embed="rId75"/>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8"/>
        </w:tc>
      </w:tr>
    </w:tbl>
    <w:bookmarkEnd w:id="79"/>
    <w:bookmarkStart w:id="80"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80"/>
    <w:bookmarkStart w:id="82"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81">
        <w:r>
          <w:rPr>
            <w:rStyle w:val="Hyperlink"/>
          </w:rPr>
          <w:t xml:space="preserve">6 Available Models | The caret Package</w:t>
        </w:r>
      </w:hyperlink>
      <w:r>
        <w:t xml:space="preserve">.</w:t>
      </w:r>
    </w:p>
    <w:bookmarkEnd w:id="82"/>
    <w:bookmarkStart w:id="83"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3"/>
    <w:bookmarkStart w:id="84"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4"/>
    <w:bookmarkStart w:id="93"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5"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5"/>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0" w:name="fig-rocr"/>
          <w:p>
            <w:pPr>
              <w:jc w:val="center"/>
            </w:pPr>
            <w:r>
              <w:drawing>
                <wp:inline>
                  <wp:extent cx="4562475" cy="3819525"/>
                  <wp:effectExtent b="0" l="0" r="0" t="0"/>
                  <wp:docPr descr="" title="" id="87" name="Picture"/>
                  <a:graphic>
                    <a:graphicData uri="http://schemas.openxmlformats.org/drawingml/2006/picture">
                      <pic:pic>
                        <pic:nvPicPr>
                          <pic:cNvPr descr="figures/rocr.png" id="88" name="Picture"/>
                          <pic:cNvPicPr>
                            <a:picLocks noChangeArrowheads="1" noChangeAspect="1"/>
                          </pic:cNvPicPr>
                        </pic:nvPicPr>
                        <pic:blipFill>
                          <a:blip r:embed="rId86"/>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9">
              <w:r>
                <w:rPr>
                  <w:rStyle w:val="Hyperlink"/>
                </w:rPr>
                <w:t xml:space="preserve">ROCR: visualizing classifier performance in R</w:t>
              </w:r>
            </w:hyperlink>
          </w:p>
          <w:bookmarkEnd w:id="90"/>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2" w:name="more-resources"/>
    <w:p>
      <w:pPr>
        <w:pStyle w:val="Heading2"/>
      </w:pPr>
      <w:r>
        <w:t xml:space="preserve">12.1 More Resources</w:t>
      </w:r>
    </w:p>
    <w:p>
      <w:pPr>
        <w:numPr>
          <w:ilvl w:val="0"/>
          <w:numId w:val="1019"/>
        </w:numPr>
        <w:pStyle w:val="Compact"/>
      </w:pPr>
      <w:hyperlink r:id="rId91">
        <w:r>
          <w:rPr>
            <w:rStyle w:val="Hyperlink"/>
          </w:rPr>
          <w:t xml:space="preserve">Classification: ROC Curve and AUC | Machine Learning | Google for Developers</w:t>
        </w:r>
      </w:hyperlink>
    </w:p>
    <w:bookmarkEnd w:id="92"/>
    <w:bookmarkEnd w:id="93"/>
    <w:bookmarkStart w:id="94"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4"/>
    <w:bookmarkStart w:id="99" w:name="ensemble"/>
    <w:p>
      <w:pPr>
        <w:pStyle w:val="Heading1"/>
      </w:pPr>
      <w:r>
        <w:t xml:space="preserve">14. Ensemble</w:t>
      </w:r>
    </w:p>
    <w:p>
      <w:pPr>
        <w:numPr>
          <w:ilvl w:val="0"/>
          <w:numId w:val="1020"/>
        </w:numPr>
        <w:pStyle w:val="Compact"/>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7" name="Picture"/>
            <a:graphic>
              <a:graphicData uri="http://schemas.openxmlformats.org/drawingml/2006/picture">
                <pic:pic>
                  <pic:nvPicPr>
                    <pic:cNvPr descr="https://biomodhub.github.io/biomod2/articles/pictures/SCHEMA_BIOMOD2_WORKFLOW_functions.png" id="98"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bookmarkEnd w:id="99"/>
    <w:bookmarkStart w:id="104"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3" w:name="fig-sdm-response-hierarchy"/>
          <w:p>
            <w:pPr>
              <w:jc w:val="center"/>
            </w:pPr>
            <w:r>
              <w:drawing>
                <wp:inline>
                  <wp:extent cx="5334000" cy="1180475"/>
                  <wp:effectExtent b="0" l="0" r="0" t="0"/>
                  <wp:docPr descr="" title="" id="101" name="Picture"/>
                  <a:graphic>
                    <a:graphicData uri="http://schemas.openxmlformats.org/drawingml/2006/picture">
                      <pic:pic>
                        <pic:nvPicPr>
                          <pic:cNvPr descr="figures/sdm-response-hierarchy.png" id="102" name="Picture"/>
                          <pic:cNvPicPr>
                            <a:picLocks noChangeArrowheads="1" noChangeAspect="1"/>
                          </pic:cNvPicPr>
                        </pic:nvPicPr>
                        <pic:blipFill>
                          <a:blip r:embed="rId100"/>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3"/>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4"/>
    <w:bookmarkStart w:id="106"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5">
        <w:r>
          <w:rPr>
            <w:rStyle w:val="VerbatimChar"/>
          </w:rPr>
          <w:t xml:space="preserve">gmbi</w:t>
        </w:r>
      </w:hyperlink>
      <w:r>
        <w:t xml:space="preserve"> </w:t>
      </w:r>
      <w:r>
        <w:t xml:space="preserve">(global marine biodiversity indicators).</w:t>
      </w:r>
    </w:p>
    <w:bookmarkEnd w:id="106"/>
    <w:bookmarkStart w:id="117"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7"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7"/>
    <w:bookmarkStart w:id="108"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8"/>
    <w:bookmarkStart w:id="110"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9">
        <w:r>
          <w:rPr>
            <w:rStyle w:val="Hyperlink"/>
          </w:rPr>
          <w:t xml:space="preserve">Conservation Status Ranks</w:t>
        </w:r>
      </w:hyperlink>
      <w:r>
        <w:t xml:space="preserve"> </w:t>
      </w:r>
      <w:r>
        <w:t xml:space="preserve">for the U.S.</w:t>
      </w:r>
    </w:p>
    <w:bookmarkEnd w:id="110"/>
    <w:bookmarkStart w:id="111" w:name="functional-importance"/>
    <w:p>
      <w:pPr>
        <w:pStyle w:val="Heading2"/>
      </w:pPr>
      <w:r>
        <w:t xml:space="preserve">17.4 Functional Importance</w:t>
      </w:r>
    </w:p>
    <w:bookmarkEnd w:id="111"/>
    <w:bookmarkStart w:id="112"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2"/>
    <w:bookmarkStart w:id="113" w:name="phylogenetic-uniqueness"/>
    <w:p>
      <w:pPr>
        <w:pStyle w:val="Heading2"/>
      </w:pPr>
      <w:r>
        <w:t xml:space="preserve">17.6 Phylogenetic Uniqueness</w:t>
      </w:r>
    </w:p>
    <w:bookmarkEnd w:id="113"/>
    <w:bookmarkStart w:id="114" w:name="richness"/>
    <w:p>
      <w:pPr>
        <w:pStyle w:val="Heading2"/>
      </w:pPr>
      <w:r>
        <w:t xml:space="preserve">17.7 Richness</w:t>
      </w:r>
    </w:p>
    <w:bookmarkEnd w:id="114"/>
    <w:bookmarkStart w:id="115"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5"/>
    <w:bookmarkStart w:id="116" w:name="trophic-index"/>
    <w:p>
      <w:pPr>
        <w:pStyle w:val="Heading2"/>
      </w:pPr>
      <w:r>
        <w:t xml:space="preserve">17.9 Trophic Index</w:t>
      </w:r>
    </w:p>
    <w:bookmarkEnd w:id="116"/>
    <w:bookmarkEnd w:id="117"/>
    <w:bookmarkStart w:id="118" w:name="share-1"/>
    <w:p>
      <w:pPr>
        <w:pStyle w:val="Heading1"/>
      </w:pPr>
      <w:r>
        <w:t xml:space="preserve">18. Share</w:t>
      </w:r>
    </w:p>
    <w:p>
      <w:pPr>
        <w:pStyle w:val="FirstParagraph"/>
      </w:pPr>
      <w:r>
        <w:t xml:space="preserve">Metadata standards and portals to share SDMs</w:t>
      </w:r>
    </w:p>
    <w:p>
      <w:pPr>
        <w:pStyle w:val="BodyText"/>
      </w:pPr>
      <w:r>
        <w:br/>
      </w:r>
    </w:p>
    <w:bookmarkEnd w:id="118"/>
    <w:bookmarkStart w:id="119" w:name="metadata"/>
    <w:p>
      <w:pPr>
        <w:pStyle w:val="Heading1"/>
      </w:pPr>
      <w:r>
        <w:t xml:space="preserve">19. Metadata</w:t>
      </w:r>
    </w:p>
    <w:p>
      <w:pPr>
        <w:pStyle w:val="FirstParagraph"/>
      </w:pPr>
      <w:r>
        <w:t xml:space="preserve">Metadata standards for reproducible and stackable SDMs</w:t>
      </w:r>
    </w:p>
    <w:p>
      <w:pPr>
        <w:pStyle w:val="BodyText"/>
      </w:pPr>
      <w:r>
        <w:br/>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Pr>
      <w:r>
        <w:t xml:space="preserve">input</w:t>
      </w:r>
    </w:p>
    <w:p>
      <w:pPr>
        <w:numPr>
          <w:ilvl w:val="1"/>
          <w:numId w:val="1022"/>
        </w:numPr>
      </w:pPr>
      <w:r>
        <w:t xml:space="preserve">input observations</w:t>
      </w:r>
    </w:p>
    <w:p>
      <w:pPr>
        <w:numPr>
          <w:ilvl w:val="1"/>
          <w:numId w:val="1022"/>
        </w:numPr>
      </w:pPr>
      <w:r>
        <w:t xml:space="preserve">environmental predictors</w:t>
      </w:r>
      <w:r>
        <w:br/>
      </w:r>
      <w:r>
        <w:t xml:space="preserve">and range of values in original observations</w:t>
      </w:r>
    </w:p>
    <w:p>
      <w:pPr>
        <w:numPr>
          <w:ilvl w:val="1"/>
          <w:numId w:val="1022"/>
        </w:numPr>
      </w:pPr>
      <w:r>
        <w:t xml:space="preserve">model type and object</w:t>
      </w:r>
    </w:p>
    <w:p>
      <w:pPr>
        <w:numPr>
          <w:ilvl w:val="0"/>
          <w:numId w:val="1021"/>
        </w:numPr>
      </w:pPr>
      <w:r>
        <w:t xml:space="preserve">outputs</w:t>
      </w:r>
    </w:p>
    <w:p>
      <w:pPr>
        <w:numPr>
          <w:ilvl w:val="1"/>
          <w:numId w:val="1023"/>
        </w:numPr>
      </w:pPr>
      <w:r>
        <w:t xml:space="preserve">model object</w:t>
      </w:r>
    </w:p>
    <w:p>
      <w:pPr>
        <w:numPr>
          <w:ilvl w:val="1"/>
          <w:numId w:val="1023"/>
        </w:numPr>
      </w:pPr>
      <w:r>
        <w:t xml:space="preserve">mean prediction</w:t>
      </w:r>
    </w:p>
    <w:p>
      <w:pPr>
        <w:numPr>
          <w:ilvl w:val="1"/>
          <w:numId w:val="1023"/>
        </w:numPr>
      </w:pPr>
      <w:r>
        <w:t xml:space="preserve">measure(s) of uncertainty</w:t>
      </w:r>
      <w:r>
        <w:br/>
      </w:r>
      <w:r>
        <w:t xml:space="preserve">standard error, standard deviation (</w:t>
      </w:r>
      <w:r>
        <w:rPr>
          <w:rStyle w:val="VerbatimChar"/>
        </w:rPr>
        <w:t xml:space="preserve">sd</w:t>
      </w:r>
      <w:r>
        <w:t xml:space="preserve">), confidence intervals (e.g., 5% and 95%), coefficient of variation (cv)…</w:t>
      </w:r>
    </w:p>
    <w:bookmarkEnd w:id="119"/>
    <w:bookmarkStart w:id="126" w:name="portal"/>
    <w:p>
      <w:pPr>
        <w:pStyle w:val="Heading1"/>
      </w:pPr>
      <w:r>
        <w:t xml:space="preserve">20. Portal</w:t>
      </w:r>
    </w:p>
    <w:p>
      <w:pPr>
        <w:pStyle w:val="FirstParagraph"/>
      </w:pPr>
      <w:r>
        <w:t xml:space="preserve">Portal to host and combine for 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are publishing workflows for existing portals?</w:t>
      </w:r>
    </w:p>
    <w:p>
      <w:pPr>
        <w:numPr>
          <w:ilvl w:val="0"/>
          <w:numId w:val="1024"/>
        </w:numPr>
        <w:pStyle w:val="Compact"/>
      </w:pPr>
      <w:r>
        <w:t xml:space="preserve">Existing portals used to share SDMs</w:t>
      </w:r>
    </w:p>
    <w:p>
      <w:pPr>
        <w:numPr>
          <w:ilvl w:val="1"/>
          <w:numId w:val="1025"/>
        </w:numPr>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5"/>
        </w:numPr>
      </w:pPr>
      <w:hyperlink r:id="rId120">
        <w:r>
          <w:rPr>
            <w:rStyle w:val="Hyperlink"/>
          </w:rPr>
          <w:t xml:space="preserve">DisMAP</w:t>
        </w:r>
      </w:hyperlink>
      <w:r>
        <w:br/>
      </w:r>
      <w:r>
        <w:rPr>
          <w:iCs/>
          <w:i/>
        </w:rPr>
        <w:t xml:space="preserve">Distribution Mapping and Analysis Portal</w:t>
      </w:r>
    </w:p>
    <w:p>
      <w:pPr>
        <w:numPr>
          <w:ilvl w:val="1"/>
          <w:numId w:val="1025"/>
        </w:numPr>
      </w:pPr>
      <w:hyperlink r:id="rId121">
        <w:r>
          <w:rPr>
            <w:rStyle w:val="Hyperlink"/>
          </w:rPr>
          <w:t xml:space="preserve">OBIS-SEAMAP Model Repository</w:t>
        </w:r>
      </w:hyperlink>
      <w:r>
        <w:br/>
      </w:r>
      <w:r>
        <w:rPr>
          <w:iCs/>
          <w:i/>
        </w:rPr>
        <w:t xml:space="preserve">World Data Center for Marine Mammal, Seabird, Sea Turtle, Shark &amp; Ray Distributions</w:t>
      </w:r>
    </w:p>
    <w:p>
      <w:pPr>
        <w:numPr>
          <w:ilvl w:val="1"/>
          <w:numId w:val="1025"/>
        </w:numPr>
      </w:pPr>
      <w:hyperlink r:id="rId122">
        <w:r>
          <w:rPr>
            <w:rStyle w:val="Hyperlink"/>
          </w:rPr>
          <w:t xml:space="preserve">NCEI</w:t>
        </w:r>
      </w:hyperlink>
      <w:r>
        <w:br/>
      </w:r>
      <w:r>
        <w:rPr>
          <w:iCs/>
          <w:i/>
        </w:rPr>
        <w:t xml:space="preserve">National Centers for Environmental Information (NOAA)</w:t>
      </w:r>
    </w:p>
    <w:p>
      <w:pPr>
        <w:numPr>
          <w:ilvl w:val="1"/>
          <w:numId w:val="1025"/>
        </w:numPr>
      </w:pPr>
      <w:hyperlink r:id="rId123">
        <w:r>
          <w:rPr>
            <w:rStyle w:val="Hyperlink"/>
          </w:rPr>
          <w:t xml:space="preserve">DataONE</w:t>
        </w:r>
      </w:hyperlink>
      <w:r>
        <w:br/>
      </w:r>
      <w:r>
        <w:rPr>
          <w:iCs/>
          <w:i/>
        </w:rPr>
        <w:t xml:space="preserve">Data Observation Network for Earth</w:t>
      </w:r>
    </w:p>
    <w:p>
      <w:pPr>
        <w:numPr>
          <w:ilvl w:val="1"/>
          <w:numId w:val="1025"/>
        </w:numPr>
      </w:pPr>
      <w:hyperlink r:id="rId124">
        <w:r>
          <w:rPr>
            <w:rStyle w:val="Hyperlink"/>
          </w:rPr>
          <w:t xml:space="preserve">ArcGIS Online</w:t>
        </w:r>
      </w:hyperlink>
    </w:p>
    <w:p>
      <w:pPr>
        <w:numPr>
          <w:ilvl w:val="1"/>
          <w:numId w:val="1000"/>
        </w:numPr>
      </w:pPr>
      <w:r>
        <w:rPr>
          <w:iCs/>
          <w:i/>
        </w:rPr>
        <w:t xml:space="preserve">Esri’s commercial data sharing platform</w:t>
      </w:r>
    </w:p>
    <w:p>
      <w:pPr>
        <w:numPr>
          <w:ilvl w:val="0"/>
          <w:numId w:val="1024"/>
        </w:numPr>
        <w:pStyle w:val="Compact"/>
      </w:pPr>
      <w:r>
        <w:t xml:space="preserve">Candidate portal</w:t>
      </w:r>
      <w:r>
        <w:br/>
      </w:r>
      <w:hyperlink r:id="rId125">
        <w:r>
          <w:rPr>
            <w:rStyle w:val="Hyperlink"/>
          </w:rPr>
          <w:t xml:space="preserve">MarineSpeciesMaps.org</w:t>
        </w:r>
      </w:hyperlink>
      <w:r>
        <w:br/>
      </w:r>
      <w:r>
        <w:t xml:space="preserve">BDB registered the domain. Similar to:</w:t>
      </w:r>
    </w:p>
    <w:p>
      <w:pPr>
        <w:numPr>
          <w:ilvl w:val="1"/>
          <w:numId w:val="1026"/>
        </w:numPr>
        <w:pStyle w:val="Compact"/>
      </w:pPr>
      <w:r>
        <w:rPr>
          <w:bCs/>
          <w:b/>
        </w:rPr>
        <w:t xml:space="preserve">MarineRegions.org</w:t>
      </w:r>
      <w:r>
        <w:br/>
      </w:r>
      <w:r>
        <w:rPr>
          <w:iCs/>
          <w:i/>
        </w:rPr>
        <w:t xml:space="preserve">spatial authority</w:t>
      </w:r>
    </w:p>
    <w:p>
      <w:pPr>
        <w:numPr>
          <w:ilvl w:val="1"/>
          <w:numId w:val="1026"/>
        </w:numPr>
        <w:pStyle w:val="Compact"/>
      </w:pPr>
      <w:r>
        <w:rPr>
          <w:bCs/>
          <w:b/>
        </w:rPr>
        <w:t xml:space="preserve">MarineSpecies.org</w:t>
      </w:r>
      <w:r>
        <w:br/>
      </w:r>
      <w:r>
        <w:rPr>
          <w:iCs/>
          <w:i/>
        </w:rPr>
        <w:t xml:space="preserve">taxonomic authority</w:t>
      </w:r>
    </w:p>
    <w:bookmarkEnd w:id="126"/>
    <w:bookmarkStart w:id="175" w:name="references"/>
    <w:p>
      <w:pPr>
        <w:pStyle w:val="Heading1"/>
      </w:pPr>
      <w:r>
        <w:t xml:space="preserve">References</w:t>
      </w:r>
    </w:p>
    <w:bookmarkStart w:id="174" w:name="refs"/>
    <w:bookmarkStart w:id="127"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27"/>
    <w:bookmarkStart w:id="129"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28">
        <w:r>
          <w:rPr>
            <w:rStyle w:val="Hyperlink"/>
          </w:rPr>
          <w:t xml:space="preserve">https://doi.org/10.1126/sciadv.aat4858</w:t>
        </w:r>
      </w:hyperlink>
      <w:r>
        <w:t xml:space="preserve">.</w:t>
      </w:r>
    </w:p>
    <w:bookmarkEnd w:id="129"/>
    <w:bookmarkStart w:id="13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30">
        <w:r>
          <w:rPr>
            <w:rStyle w:val="Hyperlink"/>
          </w:rPr>
          <w:t xml:space="preserve">https://doi.org/10.1111/j.2041-210X.2011.00172.x</w:t>
        </w:r>
      </w:hyperlink>
      <w:r>
        <w:t xml:space="preserve">.</w:t>
      </w:r>
    </w:p>
    <w:bookmarkEnd w:id="131"/>
    <w:bookmarkStart w:id="133"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32">
        <w:r>
          <w:rPr>
            <w:rStyle w:val="Hyperlink"/>
          </w:rPr>
          <w:t xml:space="preserve">https://doi.org/10.1016/j.ecoinf.2023.102147</w:t>
        </w:r>
      </w:hyperlink>
      <w:r>
        <w:t xml:space="preserve">.</w:t>
      </w:r>
    </w:p>
    <w:bookmarkEnd w:id="133"/>
    <w:bookmarkStart w:id="135" w:name="ref-carroll2022"/>
    <w:p>
      <w:pPr>
        <w:pStyle w:val="Bibliography"/>
      </w:pPr>
      <w:r>
        <w:t xml:space="preserve">Carroll, C., R. F. Noss, and Bruce A. Stein. 2022.</w:t>
      </w:r>
      <w:r>
        <w:t xml:space="preserve"> </w:t>
      </w:r>
      <w:r>
        <w:t xml:space="preserve">“US Conservation Atlas Needs Biodiversity Data.”</w:t>
      </w:r>
      <w:r>
        <w:t xml:space="preserve"> </w:t>
      </w:r>
      <w:r>
        <w:rPr>
          <w:iCs/>
          <w:i/>
        </w:rPr>
        <w:t xml:space="preserve">Science</w:t>
      </w:r>
      <w:r>
        <w:t xml:space="preserve"> </w:t>
      </w:r>
      <w:r>
        <w:t xml:space="preserve">376 (6589): 144–45.</w:t>
      </w:r>
      <w:r>
        <w:t xml:space="preserve"> </w:t>
      </w:r>
      <w:hyperlink r:id="rId134">
        <w:r>
          <w:rPr>
            <w:rStyle w:val="Hyperlink"/>
          </w:rPr>
          <w:t xml:space="preserve">https://doi.org/10.1126/science.abo0526</w:t>
        </w:r>
      </w:hyperlink>
      <w:r>
        <w:t xml:space="preserve">.</w:t>
      </w:r>
    </w:p>
    <w:bookmarkEnd w:id="135"/>
    <w:bookmarkStart w:id="137"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36">
        <w:r>
          <w:rPr>
            <w:rStyle w:val="Hyperlink"/>
          </w:rPr>
          <w:t xml:space="preserve">https://doi.org/10.1146/annurev.ecolsys.110308.120159</w:t>
        </w:r>
      </w:hyperlink>
      <w:r>
        <w:t xml:space="preserve">.</w:t>
      </w:r>
    </w:p>
    <w:bookmarkEnd w:id="137"/>
    <w:bookmarkStart w:id="139"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38">
        <w:r>
          <w:rPr>
            <w:rStyle w:val="Hyperlink"/>
          </w:rPr>
          <w:t xml:space="preserve">http://dx.doi.org/10.1111/j.1472-4642.2010.00725.x</w:t>
        </w:r>
      </w:hyperlink>
      <w:r>
        <w:t xml:space="preserve">.</w:t>
      </w:r>
    </w:p>
    <w:bookmarkEnd w:id="139"/>
    <w:bookmarkStart w:id="141" w:name="ref-fautin2010"/>
    <w:p>
      <w:pPr>
        <w:pStyle w:val="Bibliography"/>
      </w:pPr>
      <w:r>
        <w:t xml:space="preserve">Fautin, Daphne, Penelope Dalton, Lewis S. Incze, Jo-Ann C. Leong, Clarence Pautzke, Andrew Rosenberg, Paul Sandifer, et al. 2010.</w:t>
      </w:r>
      <w:r>
        <w:t xml:space="preserve"> </w:t>
      </w:r>
      <w:r>
        <w:t xml:space="preserve">“An Overview of Marine Biodiversity in United States Waters.”</w:t>
      </w:r>
      <w:r>
        <w:t xml:space="preserve"> </w:t>
      </w:r>
      <w:r>
        <w:rPr>
          <w:iCs/>
          <w:i/>
        </w:rPr>
        <w:t xml:space="preserve">PLoS ONE</w:t>
      </w:r>
      <w:r>
        <w:t xml:space="preserve"> </w:t>
      </w:r>
      <w:r>
        <w:t xml:space="preserve">5 (8): e11914.</w:t>
      </w:r>
      <w:r>
        <w:t xml:space="preserve"> </w:t>
      </w:r>
      <w:hyperlink r:id="rId140">
        <w:r>
          <w:rPr>
            <w:rStyle w:val="Hyperlink"/>
          </w:rPr>
          <w:t xml:space="preserve">https://doi.org/10.1371/journal.pone.0011914</w:t>
        </w:r>
      </w:hyperlink>
      <w:r>
        <w:t xml:space="preserve">.</w:t>
      </w:r>
    </w:p>
    <w:bookmarkEnd w:id="141"/>
    <w:bookmarkStart w:id="143"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42">
        <w:r>
          <w:rPr>
            <w:rStyle w:val="Hyperlink"/>
          </w:rPr>
          <w:t xml:space="preserve">https://doi.org/10.1016/j.rse.2017.06.031</w:t>
        </w:r>
      </w:hyperlink>
      <w:r>
        <w:t xml:space="preserve">.</w:t>
      </w:r>
    </w:p>
    <w:bookmarkEnd w:id="143"/>
    <w:bookmarkStart w:id="145"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44">
        <w:r>
          <w:rPr>
            <w:rStyle w:val="Hyperlink"/>
          </w:rPr>
          <w:t xml:space="preserve">https://www.jstor.org/stable/43924357</w:t>
        </w:r>
      </w:hyperlink>
      <w:r>
        <w:t xml:space="preserve">.</w:t>
      </w:r>
    </w:p>
    <w:bookmarkEnd w:id="145"/>
    <w:bookmarkStart w:id="147"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46">
        <w:r>
          <w:rPr>
            <w:rStyle w:val="Hyperlink"/>
          </w:rPr>
          <w:t xml:space="preserve">https://doi.org/10.1038/nature11397</w:t>
        </w:r>
      </w:hyperlink>
      <w:r>
        <w:t xml:space="preserve">.</w:t>
      </w:r>
    </w:p>
    <w:bookmarkEnd w:id="147"/>
    <w:bookmarkStart w:id="149"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48">
        <w:r>
          <w:rPr>
            <w:rStyle w:val="Hyperlink"/>
          </w:rPr>
          <w:t xml:space="preserve">https://doi.org/10.3354/meps316285</w:t>
        </w:r>
      </w:hyperlink>
      <w:r>
        <w:t xml:space="preserve">.</w:t>
      </w:r>
    </w:p>
    <w:bookmarkEnd w:id="149"/>
    <w:bookmarkStart w:id="151"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50">
        <w:r>
          <w:rPr>
            <w:rStyle w:val="Hyperlink"/>
          </w:rPr>
          <w:t xml:space="preserve">https://doi.org/10.1111/ecog.06547</w:t>
        </w:r>
      </w:hyperlink>
      <w:r>
        <w:t xml:space="preserve">.</w:t>
      </w:r>
    </w:p>
    <w:bookmarkEnd w:id="151"/>
    <w:bookmarkStart w:id="153"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52">
        <w:r>
          <w:rPr>
            <w:rStyle w:val="Hyperlink"/>
          </w:rPr>
          <w:t xml:space="preserve">https://www.frontiersin.org/articles/10.3389/fmars.2019.00588</w:t>
        </w:r>
      </w:hyperlink>
      <w:r>
        <w:t xml:space="preserve">.</w:t>
      </w:r>
    </w:p>
    <w:bookmarkEnd w:id="153"/>
    <w:bookmarkStart w:id="155" w:name="ref-muller-karger2018"/>
    <w:p>
      <w:pPr>
        <w:pStyle w:val="Bibliography"/>
      </w:pPr>
      <w:r>
        <w:t xml:space="preserve">Muller-Karger, Frank E., Patricia Miloslavich, Nicholas J. Bax, Samantha Simmons, Mark J. Costello, Isabel Sousa Pinto, Gabrielle Canonico, et al. 2018.</w:t>
      </w:r>
      <w:r>
        <w:t xml:space="preserve"> </w:t>
      </w:r>
      <w:r>
        <w:t xml:space="preserve">“Advancing Marine Biological Observations and Data Requirements of the Complementary Essential Ocean Variables (EOVs) and Essential Biodiversity Variables (EBVs) Frameworks.”</w:t>
      </w:r>
      <w:r>
        <w:t xml:space="preserve"> </w:t>
      </w:r>
      <w:r>
        <w:rPr>
          <w:iCs/>
          <w:i/>
        </w:rPr>
        <w:t xml:space="preserve">Frontiers in Marine Science</w:t>
      </w:r>
      <w:r>
        <w:t xml:space="preserve"> </w:t>
      </w:r>
      <w:r>
        <w:t xml:space="preserve">5.</w:t>
      </w:r>
      <w:r>
        <w:t xml:space="preserve"> </w:t>
      </w:r>
      <w:hyperlink r:id="rId154">
        <w:r>
          <w:rPr>
            <w:rStyle w:val="Hyperlink"/>
          </w:rPr>
          <w:t xml:space="preserve">https://doi.org/10.3389/fmars.2018.00211</w:t>
        </w:r>
      </w:hyperlink>
      <w:r>
        <w:t xml:space="preserve">.</w:t>
      </w:r>
    </w:p>
    <w:bookmarkEnd w:id="155"/>
    <w:bookmarkStart w:id="157"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56">
        <w:r>
          <w:rPr>
            <w:rStyle w:val="Hyperlink"/>
          </w:rPr>
          <w:t xml:space="preserve">https://doi.org/10.1111/ecog.03049</w:t>
        </w:r>
      </w:hyperlink>
      <w:r>
        <w:t xml:space="preserve">.</w:t>
      </w:r>
    </w:p>
    <w:bookmarkEnd w:id="157"/>
    <w:bookmarkStart w:id="159"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58">
        <w:r>
          <w:rPr>
            <w:rStyle w:val="Hyperlink"/>
          </w:rPr>
          <w:t xml:space="preserve">https://doi.org/10.1016/j.ecolmodel.2005.03.026</w:t>
        </w:r>
      </w:hyperlink>
      <w:r>
        <w:t xml:space="preserve">.</w:t>
      </w:r>
    </w:p>
    <w:bookmarkEnd w:id="159"/>
    <w:bookmarkStart w:id="161"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60">
        <w:r>
          <w:rPr>
            <w:rStyle w:val="Hyperlink"/>
          </w:rPr>
          <w:t xml:space="preserve">https://doi.org/10.1111/j.0906-7590.2008.5203.x</w:t>
        </w:r>
      </w:hyperlink>
      <w:r>
        <w:t xml:space="preserve">.</w:t>
      </w:r>
    </w:p>
    <w:bookmarkEnd w:id="161"/>
    <w:bookmarkStart w:id="163"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62">
        <w:r>
          <w:rPr>
            <w:rStyle w:val="Hyperlink"/>
          </w:rPr>
          <w:t xml:space="preserve">https://doi.org/10.1016/j.ecolmodel.2009.10.025</w:t>
        </w:r>
      </w:hyperlink>
      <w:r>
        <w:t xml:space="preserve">.</w:t>
      </w:r>
    </w:p>
    <w:bookmarkEnd w:id="163"/>
    <w:bookmarkStart w:id="165" w:name="ref-roberts2016"/>
    <w:p>
      <w:pPr>
        <w:pStyle w:val="Bibliography"/>
      </w:pPr>
      <w:r>
        <w:t xml:space="preserve">Roberts, Jason J., Benjamin D. Best, Laura Mannocci, Ei Fujioka, Patrick N. Halpin, Debra L. Palka, Lance P. Garrison, et al. 2016.</w:t>
      </w:r>
      <w:r>
        <w:t xml:space="preserve"> </w:t>
      </w:r>
      <w:r>
        <w:t xml:space="preserve">“Habitat-Based Cetacean Density Models for the u.s. Atlantic and Gulf of Mexico.”</w:t>
      </w:r>
      <w:r>
        <w:t xml:space="preserve"> </w:t>
      </w:r>
      <w:r>
        <w:rPr>
          <w:iCs/>
          <w:i/>
        </w:rPr>
        <w:t xml:space="preserve">Scientific Reports</w:t>
      </w:r>
      <w:r>
        <w:t xml:space="preserve"> </w:t>
      </w:r>
      <w:r>
        <w:t xml:space="preserve">6 (March): 22615.</w:t>
      </w:r>
      <w:r>
        <w:t xml:space="preserve"> </w:t>
      </w:r>
      <w:hyperlink r:id="rId164">
        <w:r>
          <w:rPr>
            <w:rStyle w:val="Hyperlink"/>
          </w:rPr>
          <w:t xml:space="preserve">https://doi.org/10.1038/srep22615</w:t>
        </w:r>
      </w:hyperlink>
      <w:r>
        <w:t xml:space="preserve">.</w:t>
      </w:r>
    </w:p>
    <w:bookmarkEnd w:id="165"/>
    <w:bookmarkStart w:id="167" w:name="ref-aquamapsdata"/>
    <w:p>
      <w:pPr>
        <w:pStyle w:val="Bibliography"/>
      </w:pPr>
      <w:r>
        <w:t xml:space="preserve">Skyttner, Markus. 2020.</w:t>
      </w:r>
      <w:r>
        <w:t xml:space="preserve"> </w:t>
      </w:r>
      <w:r>
        <w:t xml:space="preserve">“Aquamapsdata: Curated Data from AquaMaps.org.”</w:t>
      </w:r>
      <w:r>
        <w:t xml:space="preserve"> </w:t>
      </w:r>
      <w:hyperlink r:id="rId166">
        <w:r>
          <w:rPr>
            <w:rStyle w:val="Hyperlink"/>
          </w:rPr>
          <w:t xml:space="preserve">https://github.com/raquamaps/aquamapsdata</w:t>
        </w:r>
      </w:hyperlink>
      <w:r>
        <w:t xml:space="preserve">.</w:t>
      </w:r>
    </w:p>
    <w:bookmarkEnd w:id="167"/>
    <w:bookmarkStart w:id="169"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68">
        <w:r>
          <w:rPr>
            <w:rStyle w:val="Hyperlink"/>
          </w:rPr>
          <w:t xml:space="preserve">https://doi.org/10.1038/nature09329</w:t>
        </w:r>
      </w:hyperlink>
      <w:r>
        <w:t xml:space="preserve">.</w:t>
      </w:r>
    </w:p>
    <w:bookmarkEnd w:id="169"/>
    <w:bookmarkStart w:id="171"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70">
        <w:r>
          <w:rPr>
            <w:rStyle w:val="Hyperlink"/>
          </w:rPr>
          <w:t xml:space="preserve">https://doi.org/10.1016/j.marpol.2020.103927</w:t>
        </w:r>
      </w:hyperlink>
      <w:r>
        <w:t xml:space="preserve">.</w:t>
      </w:r>
    </w:p>
    <w:bookmarkEnd w:id="171"/>
    <w:bookmarkStart w:id="173"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72">
        <w:r>
          <w:rPr>
            <w:rStyle w:val="Hyperlink"/>
          </w:rPr>
          <w:t xml:space="preserve">https://doi.org/10.1111/ecog.04960</w:t>
        </w:r>
      </w:hyperlink>
      <w:r>
        <w:t xml:space="preserve">.</w:t>
      </w:r>
    </w:p>
    <w:bookmarkEnd w:id="173"/>
    <w:bookmarkEnd w:id="174"/>
    <w:bookmarkEnd w:id="175"/>
    <w:bookmarkStart w:id="177" w:name="glossary"/>
    <w:p>
      <w:pPr>
        <w:pStyle w:val="Heading1"/>
      </w:pPr>
      <w:r>
        <w:t xml:space="preserve">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76">
              <w:r>
                <w:rPr>
                  <w:rStyle w:val="Hyperlink"/>
                </w:rPr>
                <w:t xml:space="preserve">MarineBON.org</w:t>
              </w:r>
            </w:hyperlink>
          </w:p>
        </w:tc>
      </w:tr>
    </w:tbl>
    <w:bookmarkEnd w:id="177"/>
    <w:bookmarkStart w:id="183"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27"/>
        </w:numPr>
      </w:pPr>
      <w:hyperlink r:id="rId178">
        <w:r>
          <w:rPr>
            <w:rStyle w:val="Hyperlink"/>
          </w:rPr>
          <w:t xml:space="preserve"> website</w:t>
        </w:r>
      </w:hyperlink>
    </w:p>
    <w:p>
      <w:pPr>
        <w:numPr>
          <w:ilvl w:val="0"/>
          <w:numId w:val="1027"/>
        </w:numPr>
      </w:pPr>
      <w:hyperlink r:id="rId179">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81" name="Picture"/>
            <a:graphic>
              <a:graphicData uri="http://schemas.openxmlformats.org/drawingml/2006/picture">
                <pic:pic>
                  <pic:nvPicPr>
                    <pic:cNvPr descr="explorations/../figures/explorations/aquamaps-downscaled.png" id="182" name="Picture"/>
                    <pic:cNvPicPr>
                      <a:picLocks noChangeArrowheads="1" noChangeAspect="1"/>
                    </pic:cNvPicPr>
                  </pic:nvPicPr>
                  <pic:blipFill>
                    <a:blip r:embed="rId180"/>
                    <a:stretch>
                      <a:fillRect/>
                    </a:stretch>
                  </pic:blipFill>
                  <pic:spPr bwMode="auto">
                    <a:xfrm>
                      <a:off x="0" y="0"/>
                      <a:ext cx="5334000" cy="2760009"/>
                    </a:xfrm>
                    <a:prstGeom prst="rect">
                      <a:avLst/>
                    </a:prstGeom>
                    <a:noFill/>
                    <a:ln w="9525">
                      <a:noFill/>
                      <a:headEnd/>
                      <a:tailEnd/>
                    </a:ln>
                  </pic:spPr>
                </pic:pic>
              </a:graphicData>
            </a:graphic>
          </wp:inline>
        </w:drawing>
      </w:r>
    </w:p>
    <w:bookmarkEnd w:id="183"/>
    <w:bookmarkStart w:id="189"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28"/>
        </w:numPr>
      </w:pPr>
      <w:hyperlink r:id="rId184">
        <w:r>
          <w:rPr>
            <w:rStyle w:val="Hyperlink"/>
          </w:rPr>
          <w:t xml:space="preserve"> website</w:t>
        </w:r>
      </w:hyperlink>
    </w:p>
    <w:p>
      <w:pPr>
        <w:numPr>
          <w:ilvl w:val="0"/>
          <w:numId w:val="1028"/>
        </w:numPr>
      </w:pPr>
      <w:hyperlink r:id="rId185">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87" name="Picture"/>
            <a:graphic>
              <a:graphicData uri="http://schemas.openxmlformats.org/drawingml/2006/picture">
                <pic:pic>
                  <pic:nvPicPr>
                    <pic:cNvPr descr="https://marinebon.github.io/aquamaps-downscaled/index_files/figure-html/fig-blue_whale_env_yes-1.png" id="188" name="Picture"/>
                    <pic:cNvPicPr>
                      <a:picLocks noChangeArrowheads="1" noChangeAspect="1"/>
                    </pic:cNvPicPr>
                  </pic:nvPicPr>
                  <pic:blipFill>
                    <a:blip r:embed="rId186"/>
                    <a:stretch>
                      <a:fillRect/>
                    </a:stretch>
                  </pic:blipFill>
                  <pic:spPr bwMode="auto">
                    <a:xfrm>
                      <a:off x="0" y="0"/>
                      <a:ext cx="5334000" cy="3810000"/>
                    </a:xfrm>
                    <a:prstGeom prst="rect">
                      <a:avLst/>
                    </a:prstGeom>
                    <a:noFill/>
                    <a:ln w="9525">
                      <a:noFill/>
                      <a:headEnd/>
                      <a:tailEnd/>
                    </a:ln>
                  </pic:spPr>
                </pic:pic>
              </a:graphicData>
            </a:graphic>
          </wp:inline>
        </w:drawing>
      </w:r>
    </w:p>
    <w:bookmarkEnd w:id="189"/>
    <w:bookmarkStart w:id="196" w:name="aquamaps-treemap"/>
    <w:p>
      <w:pPr>
        <w:pStyle w:val="Heading1"/>
      </w:pPr>
      <w:r>
        <w:t xml:space="preserve">AquaMaps Treemap</w:t>
      </w:r>
    </w:p>
    <w:p>
      <w:pPr>
        <w:pStyle w:val="FirstParagraph"/>
      </w:pPr>
      <w:r>
        <w:t xml:space="preserve">Select a Sanctuary or Draw a polygon to filter to 1/2º AquaMaps species and view as Table or treemap Plot for interactive taxonomic composition.</w:t>
      </w:r>
    </w:p>
    <w:p>
      <w:pPr>
        <w:numPr>
          <w:ilvl w:val="0"/>
          <w:numId w:val="1029"/>
        </w:numPr>
      </w:pPr>
      <w:hyperlink r:id="rId190">
        <w:r>
          <w:rPr>
            <w:rStyle w:val="Hyperlink"/>
          </w:rPr>
          <w:t xml:space="preserve"> website</w:t>
        </w:r>
      </w:hyperlink>
    </w:p>
    <w:p>
      <w:pPr>
        <w:numPr>
          <w:ilvl w:val="0"/>
          <w:numId w:val="1029"/>
        </w:numPr>
      </w:pPr>
      <w:hyperlink r:id="rId191">
        <w:r>
          <w:rPr>
            <w:rStyle w:val="Hyperlink"/>
          </w:rPr>
          <w:t xml:space="preserve"> </w:t>
        </w:r>
        <w:r>
          <w:rPr>
            <w:rStyle w:val="VerbatimChar"/>
          </w:rPr>
          <w:t xml:space="preserve">code</w:t>
        </w:r>
      </w:hyperlink>
    </w:p>
    <w:p>
      <w:pPr>
        <w:pStyle w:val="FirstParagraph"/>
      </w:pPr>
      <w:r>
        <w:drawing>
          <wp:inline>
            <wp:extent cx="5334000" cy="3613945"/>
            <wp:effectExtent b="0" l="0" r="0" t="0"/>
            <wp:docPr descr="" title="" id="193" name="Picture"/>
            <a:graphic>
              <a:graphicData uri="http://schemas.openxmlformats.org/drawingml/2006/picture">
                <pic:pic>
                  <pic:nvPicPr>
                    <pic:cNvPr descr="explorations/../figures/explorations/am-tree.png" id="194" name="Picture"/>
                    <pic:cNvPicPr>
                      <a:picLocks noChangeArrowheads="1" noChangeAspect="1"/>
                    </pic:cNvPicPr>
                  </pic:nvPicPr>
                  <pic:blipFill>
                    <a:blip r:embed="rId192"/>
                    <a:stretch>
                      <a:fillRect/>
                    </a:stretch>
                  </pic:blipFill>
                  <pic:spPr bwMode="auto">
                    <a:xfrm>
                      <a:off x="0" y="0"/>
                      <a:ext cx="5334000" cy="3613945"/>
                    </a:xfrm>
                    <a:prstGeom prst="rect">
                      <a:avLst/>
                    </a:prstGeom>
                    <a:noFill/>
                    <a:ln w="9525">
                      <a:noFill/>
                      <a:headEnd/>
                      <a:tailEnd/>
                    </a:ln>
                  </pic:spPr>
                </pic:pic>
              </a:graphicData>
            </a:graphic>
          </wp:inline>
        </w:drawing>
      </w:r>
    </w:p>
    <w:p>
      <w:pPr>
        <w:pStyle w:val="BodyText"/>
      </w:pPr>
      <w:r>
        <w:t xml:space="preserve">This app uses</w:t>
      </w:r>
      <w:r>
        <w:t xml:space="preserve"> </w:t>
      </w:r>
      <w:hyperlink r:id="rId195">
        <w:r>
          <w:rPr>
            <w:rStyle w:val="VerbatimChar"/>
          </w:rPr>
          <w:t xml:space="preserve">aquamapsdata</w:t>
        </w:r>
      </w:hyperlink>
      <w:r>
        <w:t xml:space="preserve"> </w:t>
      </w:r>
      <w:r>
        <w:t xml:space="preserve">after translating from</w:t>
      </w:r>
      <w:r>
        <w:t xml:space="preserve"> </w:t>
      </w:r>
      <w:r>
        <w:rPr>
          <w:rStyle w:val="VerbatimChar"/>
        </w:rPr>
        <w:t xml:space="preserve">sqlite</w:t>
      </w:r>
      <w:r>
        <w:t xml:space="preserve"> </w:t>
      </w:r>
      <w:r>
        <w:t xml:space="preserve">(slow) and</w:t>
      </w:r>
      <w:r>
        <w:t xml:space="preserve"> </w:t>
      </w:r>
      <w:r>
        <w:rPr>
          <w:rStyle w:val="VerbatimChar"/>
        </w:rPr>
        <w:t xml:space="preserve">raster</w:t>
      </w:r>
      <w:r>
        <w:t xml:space="preserve"> </w:t>
      </w:r>
      <w:r>
        <w:t xml:space="preserve">(deprecated) R functions to</w:t>
      </w:r>
      <w:r>
        <w:t xml:space="preserve"> </w:t>
      </w:r>
      <w:r>
        <w:rPr>
          <w:rStyle w:val="VerbatimChar"/>
        </w:rPr>
        <w:t xml:space="preserve">duckdb</w:t>
      </w:r>
      <w:r>
        <w:t xml:space="preserve"> </w:t>
      </w:r>
      <w:r>
        <w:t xml:space="preserve">(fast) and</w:t>
      </w:r>
      <w:r>
        <w:t xml:space="preserve"> </w:t>
      </w:r>
      <w:r>
        <w:rPr>
          <w:rStyle w:val="VerbatimChar"/>
        </w:rPr>
        <w:t xml:space="preserve">terra</w:t>
      </w:r>
      <w:r>
        <w:t xml:space="preserve"> </w:t>
      </w:r>
      <w:r>
        <w:t xml:space="preserve">(superceding) R functions. We can use these distributional data to calculate place-based indicators with anticipation of the distributional data getting improved upon in 2024 by AquaX and others.</w:t>
      </w:r>
    </w:p>
    <w:bookmarkEnd w:id="196"/>
    <w:bookmarkStart w:id="202" w:name="sdm-predicts"/>
    <w:p>
      <w:pPr>
        <w:pStyle w:val="Heading1"/>
      </w:pPr>
      <w:r>
        <w:t xml:space="preserve">SDM</w:t>
      </w:r>
      <w:r>
        <w:t xml:space="preserve"> </w:t>
      </w:r>
      <w:r>
        <w:rPr>
          <w:rStyle w:val="VerbatimChar"/>
        </w:rPr>
        <w:t xml:space="preserve">predicts</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30"/>
        </w:numPr>
      </w:pPr>
      <w:hyperlink r:id="rId197">
        <w:r>
          <w:rPr>
            <w:rStyle w:val="Hyperlink"/>
          </w:rPr>
          <w:t xml:space="preserve"> website</w:t>
        </w:r>
      </w:hyperlink>
    </w:p>
    <w:p>
      <w:pPr>
        <w:numPr>
          <w:ilvl w:val="0"/>
          <w:numId w:val="1030"/>
        </w:numPr>
      </w:pPr>
      <w:hyperlink r:id="rId198">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200" name="Picture"/>
            <a:graphic>
              <a:graphicData uri="http://schemas.openxmlformats.org/drawingml/2006/picture">
                <pic:pic>
                  <pic:nvPicPr>
                    <pic:cNvPr descr="explorations/../figures/explorations/sdm-1_predicts.png" id="201" name="Picture"/>
                    <pic:cNvPicPr>
                      <a:picLocks noChangeArrowheads="1" noChangeAspect="1"/>
                    </pic:cNvPicPr>
                  </pic:nvPicPr>
                  <pic:blipFill>
                    <a:blip r:embed="rId199"/>
                    <a:stretch>
                      <a:fillRect/>
                    </a:stretch>
                  </pic:blipFill>
                  <pic:spPr bwMode="auto">
                    <a:xfrm>
                      <a:off x="0" y="0"/>
                      <a:ext cx="5334000" cy="2975867"/>
                    </a:xfrm>
                    <a:prstGeom prst="rect">
                      <a:avLst/>
                    </a:prstGeom>
                    <a:noFill/>
                    <a:ln w="9525">
                      <a:noFill/>
                      <a:headEnd/>
                      <a:tailEnd/>
                    </a:ln>
                  </pic:spPr>
                </pic:pic>
              </a:graphicData>
            </a:graphic>
          </wp:inline>
        </w:drawing>
      </w:r>
    </w:p>
    <w:bookmarkEnd w:id="202"/>
    <w:bookmarkStart w:id="208" w:name="obis-top-classes"/>
    <w:p>
      <w:pPr>
        <w:pStyle w:val="Heading1"/>
      </w:pPr>
      <w:r>
        <w:t xml:space="preserve">OBIS Top Classes</w:t>
      </w:r>
    </w:p>
    <w:p>
      <w:pPr>
        <w:pStyle w:val="FirstParagraph"/>
      </w:pPr>
      <w:r>
        <w:t xml:space="preserve">Extract the species with the most numerous observations by unique Class from the OBIS parquet archive in R.</w:t>
      </w:r>
    </w:p>
    <w:p>
      <w:pPr>
        <w:numPr>
          <w:ilvl w:val="0"/>
          <w:numId w:val="1031"/>
        </w:numPr>
      </w:pPr>
      <w:hyperlink r:id="rId203">
        <w:r>
          <w:rPr>
            <w:rStyle w:val="Hyperlink"/>
          </w:rPr>
          <w:t xml:space="preserve"> website</w:t>
        </w:r>
      </w:hyperlink>
    </w:p>
    <w:p>
      <w:pPr>
        <w:numPr>
          <w:ilvl w:val="0"/>
          <w:numId w:val="1031"/>
        </w:numPr>
      </w:pPr>
      <w:hyperlink r:id="rId204">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06" name="Picture"/>
            <a:graphic>
              <a:graphicData uri="http://schemas.openxmlformats.org/drawingml/2006/picture">
                <pic:pic>
                  <pic:nvPicPr>
                    <pic:cNvPr descr="explorations/../figures/explorations/obis-top-spp-by-class.png" id="207" name="Picture"/>
                    <pic:cNvPicPr>
                      <a:picLocks noChangeArrowheads="1" noChangeAspect="1"/>
                    </pic:cNvPicPr>
                  </pic:nvPicPr>
                  <pic:blipFill>
                    <a:blip r:embed="rId205"/>
                    <a:stretch>
                      <a:fillRect/>
                    </a:stretch>
                  </pic:blipFill>
                  <pic:spPr bwMode="auto">
                    <a:xfrm>
                      <a:off x="0" y="0"/>
                      <a:ext cx="5334000" cy="3759000"/>
                    </a:xfrm>
                    <a:prstGeom prst="rect">
                      <a:avLst/>
                    </a:prstGeom>
                    <a:noFill/>
                    <a:ln w="9525">
                      <a:noFill/>
                      <a:headEnd/>
                      <a:tailEnd/>
                    </a:ln>
                  </pic:spPr>
                </pic:pic>
              </a:graphicData>
            </a:graphic>
          </wp:inline>
        </w:drawing>
      </w:r>
    </w:p>
    <w:bookmarkEnd w:id="208"/>
    <w:bookmarkStart w:id="221" w:name="software"/>
    <w:p>
      <w:pPr>
        <w:pStyle w:val="Heading1"/>
      </w:pPr>
      <w:r>
        <w:t xml:space="preserve">Software</w:t>
      </w:r>
    </w:p>
    <w:bookmarkStart w:id="215" w:name="r"/>
    <w:p>
      <w:pPr>
        <w:pStyle w:val="Heading2"/>
      </w:pPr>
      <w:r>
        <w:t xml:space="preserve">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5">
        <w:r>
          <w:rPr>
            <w:rStyle w:val="VerbatimChar"/>
          </w:rPr>
          <w:t xml:space="preserve">biomod2</w:t>
        </w:r>
      </w:hyperlink>
      <w:r>
        <w:t xml:space="preserve"> </w:t>
      </w:r>
      <w:r>
        <w:t xml:space="preserve">(ref?).</w:t>
      </w:r>
    </w:p>
    <w:p>
      <w:pPr>
        <w:numPr>
          <w:ilvl w:val="0"/>
          <w:numId w:val="1032"/>
        </w:numPr>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209" name="Picture"/>
            <a:graphic>
              <a:graphicData uri="http://schemas.openxmlformats.org/drawingml/2006/picture">
                <pic:pic>
                  <pic:nvPicPr>
                    <pic:cNvPr descr="https://biomodhub.github.io/biomod2/articles/pictures/SCHEMA_BIOMOD2_WORKFLOW_functions.png" id="210"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32"/>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213" w:name="fig-eks"/>
          <w:p>
            <w:pPr>
              <w:jc w:val="center"/>
            </w:pPr>
            <w:r>
              <w:drawing>
                <wp:inline>
                  <wp:extent cx="4620126" cy="4620126"/>
                  <wp:effectExtent b="0" l="0" r="0" t="0"/>
                  <wp:docPr descr="" title="" id="211" name="Picture"/>
                  <a:graphic>
                    <a:graphicData uri="http://schemas.openxmlformats.org/drawingml/2006/picture">
                      <pic:pic>
                        <pic:nvPicPr>
                          <pic:cNvPr descr="figures/software/eks.png" id="212"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20.1: Source:</w:t>
            </w:r>
            <w:r>
              <w:t xml:space="preserve"> </w:t>
            </w:r>
            <w:hyperlink r:id="rId57">
              <w:r>
                <w:rPr>
                  <w:rStyle w:val="Hyperlink"/>
                </w:rPr>
                <w:t xml:space="preserve">Kernel density estimates for tidy and geospatial data in the eks package</w:t>
              </w:r>
            </w:hyperlink>
          </w:p>
          <w:bookmarkEnd w:id="213"/>
        </w:tc>
      </w:tr>
    </w:tbl>
    <w:p>
      <w:pPr>
        <w:numPr>
          <w:ilvl w:val="0"/>
          <w:numId w:val="1032"/>
        </w:numPr>
      </w:pPr>
      <w:hyperlink r:id="rId214">
        <w:r>
          <w:rPr>
            <w:rStyle w:val="VerbatimChar"/>
          </w:rPr>
          <w:t xml:space="preserve">predicts</w:t>
        </w:r>
      </w:hyperlink>
      <w:r>
        <w:br/>
      </w:r>
      <w:r>
        <w:rPr>
          <w:iCs/>
          <w:i/>
        </w:rPr>
        <w:t xml:space="preserve">New R library using terra for predicting from fitted model</w:t>
      </w:r>
    </w:p>
    <w:bookmarkEnd w:id="215"/>
    <w:bookmarkStart w:id="217" w:name="python"/>
    <w:p>
      <w:pPr>
        <w:pStyle w:val="Heading2"/>
      </w:pPr>
      <w:r>
        <w:t xml:space="preserve">Python</w:t>
      </w:r>
    </w:p>
    <w:p>
      <w:pPr>
        <w:numPr>
          <w:ilvl w:val="0"/>
          <w:numId w:val="1033"/>
        </w:numPr>
        <w:pStyle w:val="Compact"/>
      </w:pPr>
      <w:hyperlink r:id="rId216">
        <w:r>
          <w:rPr>
            <w:rStyle w:val="Hyperlink"/>
          </w:rPr>
          <w:t xml:space="preserve">Xarray</w:t>
        </w:r>
      </w:hyperlink>
      <w:r>
        <w:br/>
      </w:r>
      <w:r>
        <w:t xml:space="preserve">Xarray makes working with labelled multi-dimensional arrays in Python simple, efficient, and fun!</w:t>
      </w:r>
    </w:p>
    <w:bookmarkEnd w:id="217"/>
    <w:bookmarkStart w:id="220" w:name="google-earth-engine"/>
    <w:p>
      <w:pPr>
        <w:pStyle w:val="Heading2"/>
      </w:pPr>
      <w:r>
        <w:t xml:space="preserve">Google Earth Engine</w:t>
      </w:r>
    </w:p>
    <w:p>
      <w:pPr>
        <w:numPr>
          <w:ilvl w:val="0"/>
          <w:numId w:val="1034"/>
        </w:numPr>
        <w:pStyle w:val="Compact"/>
      </w:pPr>
      <w:hyperlink r:id="rId218">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219">
        <w:r>
          <w:rPr>
            <w:rStyle w:val="Hyperlink"/>
          </w:rPr>
          <w:t xml:space="preserve">Documentation</w:t>
        </w:r>
      </w:hyperlink>
    </w:p>
    <w:bookmarkEnd w:id="220"/>
    <w:bookmarkEnd w:id="2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92" Target="media/rId192.png" /><Relationship Type="http://schemas.openxmlformats.org/officeDocument/2006/relationships/image" Id="rId180" Target="media/rId180.png" /><Relationship Type="http://schemas.openxmlformats.org/officeDocument/2006/relationships/image" Id="rId205" Target="media/rId205.png" /><Relationship Type="http://schemas.openxmlformats.org/officeDocument/2006/relationships/image" Id="rId199" Target="media/rId199.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58" Target="media/rId58.png" /><Relationship Type="http://schemas.openxmlformats.org/officeDocument/2006/relationships/image" Id="rId96" Target="media/rId96.png" /><Relationship Type="http://schemas.openxmlformats.org/officeDocument/2006/relationships/image" Id="rId186" Target="media/rId186.png" /><Relationship Type="http://schemas.openxmlformats.org/officeDocument/2006/relationships/image" Id="rId32" Target="media/rId32.png"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hyperlink" Id="rId176"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14"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16"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58" Target="https://doi.org/10.1016/j.ecolmodel.2005.03.026" TargetMode="External" /><Relationship Type="http://schemas.openxmlformats.org/officeDocument/2006/relationships/hyperlink" Id="rId162" Target="https://doi.org/10.1016/j.ecolmodel.2009.10.025" TargetMode="External" /><Relationship Type="http://schemas.openxmlformats.org/officeDocument/2006/relationships/hyperlink" Id="rId170" Target="https://doi.org/10.1016/j.marpol.2020.103927" TargetMode="External" /><Relationship Type="http://schemas.openxmlformats.org/officeDocument/2006/relationships/hyperlink" Id="rId142" Target="https://doi.org/10.1016/j.rse.2017.06.031" TargetMode="External" /><Relationship Type="http://schemas.openxmlformats.org/officeDocument/2006/relationships/hyperlink" Id="rId168" Target="https://doi.org/10.1038/nature09329" TargetMode="External" /><Relationship Type="http://schemas.openxmlformats.org/officeDocument/2006/relationships/hyperlink" Id="rId146" Target="https://doi.org/10.1038/nature11397" TargetMode="External" /><Relationship Type="http://schemas.openxmlformats.org/officeDocument/2006/relationships/hyperlink" Id="rId164" Target="https://doi.org/10.1038/srep22615" TargetMode="External" /><Relationship Type="http://schemas.openxmlformats.org/officeDocument/2006/relationships/hyperlink" Id="rId156" Target="https://doi.org/10.1111/ecog.03049" TargetMode="External" /><Relationship Type="http://schemas.openxmlformats.org/officeDocument/2006/relationships/hyperlink" Id="rId172" Target="https://doi.org/10.1111/ecog.04960" TargetMode="External" /><Relationship Type="http://schemas.openxmlformats.org/officeDocument/2006/relationships/hyperlink" Id="rId150" Target="https://doi.org/10.1111/ecog.06547" TargetMode="External" /><Relationship Type="http://schemas.openxmlformats.org/officeDocument/2006/relationships/hyperlink" Id="rId160"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0" Target="https://doi.org/10.1371/journal.pone.0011914" TargetMode="External" /><Relationship Type="http://schemas.openxmlformats.org/officeDocument/2006/relationships/hyperlink" Id="rId148" Target="https://doi.org/10.3354/meps316285" TargetMode="External" /><Relationship Type="http://schemas.openxmlformats.org/officeDocument/2006/relationships/hyperlink" Id="rId154" Target="https://doi.org/10.3389/fmars.2018.00211" TargetMode="External" /><Relationship Type="http://schemas.openxmlformats.org/officeDocument/2006/relationships/hyperlink" Id="rId29" Target="https://en.wikipedia.org/wiki/30_by_30" TargetMode="External" /><Relationship Type="http://schemas.openxmlformats.org/officeDocument/2006/relationships/hyperlink" Id="rId218"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5" Target="https://github.com/marinebon/aquamaps-downscaled/blob/main/index.qmd" TargetMode="External" /><Relationship Type="http://schemas.openxmlformats.org/officeDocument/2006/relationships/hyperlink" Id="rId179" Target="https://github.com/marinebon/aquamaps-downscaled/tree/main/sp-map" TargetMode="External" /><Relationship Type="http://schemas.openxmlformats.org/officeDocument/2006/relationships/hyperlink" Id="rId191" Target="https://github.com/marinebon/aquamapsduckdb/tree/main/inst/app" TargetMode="External" /><Relationship Type="http://schemas.openxmlformats.org/officeDocument/2006/relationships/hyperlink" Id="rId204" Target="https://github.com/marinebon/sdm-explore/blob/main/explore_obis.qmd" TargetMode="External" /><Relationship Type="http://schemas.openxmlformats.org/officeDocument/2006/relationships/hyperlink" Id="rId198" Target="https://github.com/marinebon/sdm-explore/blob/main/sdm_1.qmd" TargetMode="External" /><Relationship Type="http://schemas.openxmlformats.org/officeDocument/2006/relationships/hyperlink" Id="rId166" Target="https://github.com/raquamaps/aquamapsdata" TargetMode="External" /><Relationship Type="http://schemas.openxmlformats.org/officeDocument/2006/relationships/hyperlink" Id="rId219"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4"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203" Target="https://marinebon.github.io/sdm-explore/explore_obis.html" TargetMode="External" /><Relationship Type="http://schemas.openxmlformats.org/officeDocument/2006/relationships/hyperlink" Id="rId197" Target="https://marinebon.github.io/sdm-explore/sdm_1.html" TargetMode="External" /><Relationship Type="http://schemas.openxmlformats.org/officeDocument/2006/relationships/hyperlink" Id="rId195" Target="https://raquamaps.github.io/aquamapsdata/articles/intro.html"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78" Target="https://shiny.marinebon.app/am-fine/" TargetMode="External" /><Relationship Type="http://schemas.openxmlformats.org/officeDocument/2006/relationships/hyperlink" Id="rId190" Target="https://shiny.marinebon.app/am-sanct/" TargetMode="External" /><Relationship Type="http://schemas.openxmlformats.org/officeDocument/2006/relationships/hyperlink" Id="rId81" Target="https://topepo.github.io/caret/available-models.html"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52"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4" Target="https://www.jstor.org/stable/43924357"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s>
</file>

<file path=word/_rels/footnotes.xml.rels><?xml version="1.0" encoding="UTF-8"?><Relationships xmlns="http://schemas.openxmlformats.org/package/2006/relationships"><Relationship Type="http://schemas.openxmlformats.org/officeDocument/2006/relationships/hyperlink" Id="rId176"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14"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16"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58" Target="https://doi.org/10.1016/j.ecolmodel.2005.03.026" TargetMode="External" /><Relationship Type="http://schemas.openxmlformats.org/officeDocument/2006/relationships/hyperlink" Id="rId162" Target="https://doi.org/10.1016/j.ecolmodel.2009.10.025" TargetMode="External" /><Relationship Type="http://schemas.openxmlformats.org/officeDocument/2006/relationships/hyperlink" Id="rId170" Target="https://doi.org/10.1016/j.marpol.2020.103927" TargetMode="External" /><Relationship Type="http://schemas.openxmlformats.org/officeDocument/2006/relationships/hyperlink" Id="rId142" Target="https://doi.org/10.1016/j.rse.2017.06.031" TargetMode="External" /><Relationship Type="http://schemas.openxmlformats.org/officeDocument/2006/relationships/hyperlink" Id="rId168" Target="https://doi.org/10.1038/nature09329" TargetMode="External" /><Relationship Type="http://schemas.openxmlformats.org/officeDocument/2006/relationships/hyperlink" Id="rId146" Target="https://doi.org/10.1038/nature11397" TargetMode="External" /><Relationship Type="http://schemas.openxmlformats.org/officeDocument/2006/relationships/hyperlink" Id="rId164" Target="https://doi.org/10.1038/srep22615" TargetMode="External" /><Relationship Type="http://schemas.openxmlformats.org/officeDocument/2006/relationships/hyperlink" Id="rId156" Target="https://doi.org/10.1111/ecog.03049" TargetMode="External" /><Relationship Type="http://schemas.openxmlformats.org/officeDocument/2006/relationships/hyperlink" Id="rId172" Target="https://doi.org/10.1111/ecog.04960" TargetMode="External" /><Relationship Type="http://schemas.openxmlformats.org/officeDocument/2006/relationships/hyperlink" Id="rId150" Target="https://doi.org/10.1111/ecog.06547" TargetMode="External" /><Relationship Type="http://schemas.openxmlformats.org/officeDocument/2006/relationships/hyperlink" Id="rId160"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0" Target="https://doi.org/10.1371/journal.pone.0011914" TargetMode="External" /><Relationship Type="http://schemas.openxmlformats.org/officeDocument/2006/relationships/hyperlink" Id="rId148" Target="https://doi.org/10.3354/meps316285" TargetMode="External" /><Relationship Type="http://schemas.openxmlformats.org/officeDocument/2006/relationships/hyperlink" Id="rId154" Target="https://doi.org/10.3389/fmars.2018.00211" TargetMode="External" /><Relationship Type="http://schemas.openxmlformats.org/officeDocument/2006/relationships/hyperlink" Id="rId29" Target="https://en.wikipedia.org/wiki/30_by_30" TargetMode="External" /><Relationship Type="http://schemas.openxmlformats.org/officeDocument/2006/relationships/hyperlink" Id="rId218"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5" Target="https://github.com/marinebon/aquamaps-downscaled/blob/main/index.qmd" TargetMode="External" /><Relationship Type="http://schemas.openxmlformats.org/officeDocument/2006/relationships/hyperlink" Id="rId179" Target="https://github.com/marinebon/aquamaps-downscaled/tree/main/sp-map" TargetMode="External" /><Relationship Type="http://schemas.openxmlformats.org/officeDocument/2006/relationships/hyperlink" Id="rId191" Target="https://github.com/marinebon/aquamapsduckdb/tree/main/inst/app" TargetMode="External" /><Relationship Type="http://schemas.openxmlformats.org/officeDocument/2006/relationships/hyperlink" Id="rId204" Target="https://github.com/marinebon/sdm-explore/blob/main/explore_obis.qmd" TargetMode="External" /><Relationship Type="http://schemas.openxmlformats.org/officeDocument/2006/relationships/hyperlink" Id="rId198" Target="https://github.com/marinebon/sdm-explore/blob/main/sdm_1.qmd" TargetMode="External" /><Relationship Type="http://schemas.openxmlformats.org/officeDocument/2006/relationships/hyperlink" Id="rId166" Target="https://github.com/raquamaps/aquamapsdata" TargetMode="External" /><Relationship Type="http://schemas.openxmlformats.org/officeDocument/2006/relationships/hyperlink" Id="rId219"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4"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203" Target="https://marinebon.github.io/sdm-explore/explore_obis.html" TargetMode="External" /><Relationship Type="http://schemas.openxmlformats.org/officeDocument/2006/relationships/hyperlink" Id="rId197" Target="https://marinebon.github.io/sdm-explore/sdm_1.html" TargetMode="External" /><Relationship Type="http://schemas.openxmlformats.org/officeDocument/2006/relationships/hyperlink" Id="rId195" Target="https://raquamaps.github.io/aquamapsdata/articles/intro.html"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78" Target="https://shiny.marinebon.app/am-fine/" TargetMode="External" /><Relationship Type="http://schemas.openxmlformats.org/officeDocument/2006/relationships/hyperlink" Id="rId190" Target="https://shiny.marinebon.app/am-sanct/" TargetMode="External" /><Relationship Type="http://schemas.openxmlformats.org/officeDocument/2006/relationships/hyperlink" Id="rId81" Target="https://topepo.github.io/caret/available-models.html"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52"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4" Target="https://www.jstor.org/stable/43924357"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Benjamin D. Best</dc:creator>
  <cp:keywords/>
  <dcterms:created xsi:type="dcterms:W3CDTF">2023-12-20T19:00:29Z</dcterms:created>
  <dcterms:modified xsi:type="dcterms:W3CDTF">2023-12-20T19:00:29Z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2023-12-20</vt:lpwstr>
  </property>
  <property fmtid="{D5CDD505-2E9C-101B-9397-08002B2CF9AE}" pid="11" name="date-format">
    <vt:lpwstr>YYYY-MM-DD</vt:lpwstr>
  </property>
  <property fmtid="{D5CDD505-2E9C-101B-9397-08002B2CF9AE}" pid="12" name="editor">
    <vt:lpwstr>visual</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subtitle">
    <vt:lpwstr>Marine Species Distribution Models</vt:lpwstr>
  </property>
  <property fmtid="{D5CDD505-2E9C-101B-9397-08002B2CF9AE}" pid="19" name="toc-title">
    <vt:lpwstr>Table of contents</vt:lpwstr>
  </property>
</Properties>
</file>