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4.png" ContentType="image/png"/>
  <Override PartName="/word/media/rId182.png" ContentType="image/png"/>
  <Override PartName="/word/media/rId207.png" ContentType="image/png"/>
  <Override PartName="/word/media/rId201.png" ContentType="image/png"/>
  <Override PartName="/word/media/rId86.png" ContentType="image/png"/>
  <Override PartName="/word/media/rId100.png" ContentType="image/png"/>
  <Override PartName="/word/media/rId58.png" ContentType="image/png"/>
  <Override PartName="/word/media/rId96.png" ContentType="image/png"/>
  <Override PartName="/word/media/rId188.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2024-02-23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Layout w:type="fixed"/>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2.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w:t>
            </w:r>
            <w:r>
              <w:t xml:space="preserve">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w:t>
            </w:r>
            <w:r>
              <w:t xml:space="preserve">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Layout w:type="fixed"/>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2.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Layout w:type="fixed"/>
      </w:tblPr>
      <w:tblGrid>
        <w:gridCol w:w="7920"/>
      </w:tblGrid>
      <w:tr>
        <w:tc>
          <w:tcPr/>
          <w:bookmarkStart w:id="61" w:name="fig-eks"/>
          <w:p>
            <w:pPr>
              <w:pStyle w:val="Compact"/>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0" w:name="tbl-Roberts2016-env"/>
          <w:p>
            <w:pPr>
              <w:jc w:val="center"/>
            </w:pPr>
            <w:pPr>
              <w:jc w:val="start"/>
              <w:spacing w:before="200"/>
              <w:pStyle w:val="ImageCaption"/>
            </w:pPr>
            <w:r>
              <w:t xml:space="preserve">Table 6.1: Example of environmental predictors from Roberts et al.</w:t>
            </w:r>
            <w:r>
              <w:t xml:space="preserve"> </w:t>
            </w:r>
            <w:r>
              <w:t xml:space="preserve">(2016)</w:t>
            </w:r>
            <w:r>
              <w:t xml:space="preserve">.</w:t>
            </w:r>
          </w:p>
          <w:p>
            <w:pPr>
              <w:pStyle w:val="SourceCode"/>
              <w:jc w:val="center"/>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tbl>
            <w:tblPr>
              <w:tblStyle w:val="Table"/>
              <w:tblW w:type="pct" w:w="5000"/>
              <w:tblLook w:firstRow="1" w:lastRow="0" w:firstColumn="0" w:lastColumn="0" w:noHBand="0" w:noVBand="0" w:val="0020"/>
              <w:jc w:val="start"/>
              <w:tblLayout w:type="fixed"/>
            </w:tblPr>
            <w:tblGrid>
              <w:gridCol w:w="1141"/>
              <w:gridCol w:w="326"/>
              <w:gridCol w:w="256"/>
              <w:gridCol w:w="6196"/>
            </w:tblGrid>
            <w:tr>
              <w:trPr>
                <w:tblHeader w:val="true"/>
              </w:trPr>
              <w:tc>
                <w:tcPr/>
                <w:p>
                  <w:pPr>
                    <w:pStyle w:val="Compact"/>
                    <w:jc w:val="left"/>
                    <w:jc w:val="center"/>
                  </w:pPr>
                  <w:r>
                    <w:rPr>
                      <w:bCs/>
                      <w:b/>
                    </w:rPr>
                    <w:t xml:space="preserve">Type</w:t>
                  </w:r>
                  <w:r>
                    <w:t xml:space="preserve"> </w:t>
                  </w:r>
                  <w:r>
                    <w:t xml:space="preserve">/</w:t>
                  </w:r>
                  <w:r>
                    <w:t xml:space="preserve">Covariates</w:t>
                  </w:r>
                </w:p>
              </w:tc>
              <w:tc>
                <w:tcPr/>
                <w:p>
                  <w:pPr>
                    <w:pStyle w:val="Compact"/>
                    <w:jc w:val="left"/>
                    <w:jc w:val="center"/>
                  </w:pPr>
                  <w:r>
                    <w:t xml:space="preserve">Resolution</w:t>
                  </w:r>
                </w:p>
              </w:tc>
              <w:tc>
                <w:tcPr/>
                <w:p>
                  <w:pPr>
                    <w:pStyle w:val="Compact"/>
                    <w:jc w:val="left"/>
                    <w:jc w:val="center"/>
                  </w:pPr>
                  <w:r>
                    <w:t xml:space="preserve">Time range</w:t>
                  </w:r>
                </w:p>
              </w:tc>
              <w:tc>
                <w:tcPr/>
                <w:p>
                  <w:pPr>
                    <w:pStyle w:val="Compact"/>
                    <w:jc w:val="left"/>
                    <w:jc w:val="center"/>
                  </w:pPr>
                  <w:r>
                    <w:t xml:space="preserve">Description</w:t>
                  </w:r>
                </w:p>
              </w:tc>
            </w:tr>
            <w:tr>
              <w:tc>
                <w:tcPr/>
                <w:p>
                  <w:pPr>
                    <w:pStyle w:val="Compact"/>
                    <w:jc w:val="left"/>
                    <w:jc w:val="center"/>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jc w:val="center"/>
                  </w:pPr>
                  <w:r>
                    <w:t xml:space="preserve">Depth, Slope</w:t>
                  </w:r>
                </w:p>
              </w:tc>
              <w:tc>
                <w:tcPr/>
                <w:p>
                  <w:pPr>
                    <w:pStyle w:val="Compact"/>
                    <w:jc w:val="left"/>
                    <w:jc w:val="center"/>
                  </w:pPr>
                  <w:r>
                    <w:t xml:space="preserve">30 arc sec</w:t>
                  </w:r>
                </w:p>
              </w:tc>
              <w:tc>
                <w:tcPr/>
                <w:p>
                  <w:pPr>
                    <w:pStyle w:val="Compact"/>
                  </w:pPr>
                </w:p>
              </w:tc>
              <w:tc>
                <w:tcPr/>
                <w:p>
                  <w:pPr>
                    <w:pStyle w:val="Compact"/>
                    <w:jc w:val="left"/>
                    <w:jc w:val="center"/>
                  </w:pPr>
                  <w:r>
                    <w:t xml:space="preserve">Seafloor depth and slope, derived from SRTM30-PLUS global bathymetry20</w:t>
                  </w:r>
                </w:p>
              </w:tc>
            </w:tr>
            <w:tr>
              <w:tc>
                <w:tcPr/>
                <w:p>
                  <w:pPr>
                    <w:pStyle w:val="Compact"/>
                    <w:jc w:val="left"/>
                    <w:jc w:val="center"/>
                  </w:pPr>
                  <w:r>
                    <w:t xml:space="preserve">DistToShore, DistTo125m, DistTo300m, DistTo1500m</w:t>
                  </w:r>
                </w:p>
              </w:tc>
              <w:tc>
                <w:tcPr/>
                <w:p>
                  <w:pPr>
                    <w:pStyle w:val="Compact"/>
                    <w:jc w:val="left"/>
                    <w:jc w:val="center"/>
                  </w:pPr>
                  <w:r>
                    <w:t xml:space="preserve">30 arc sec</w:t>
                  </w:r>
                </w:p>
              </w:tc>
              <w:tc>
                <w:tcPr/>
                <w:p>
                  <w:pPr>
                    <w:pStyle w:val="Compact"/>
                  </w:pPr>
                </w:p>
              </w:tc>
              <w:tc>
                <w:tcPr/>
                <w:p>
                  <w:pPr>
                    <w:pStyle w:val="Compact"/>
                    <w:jc w:val="left"/>
                    <w:jc w:val="center"/>
                  </w:pPr>
                  <w:r>
                    <w:t xml:space="preserve">Distance to the closest shoreline, excluding Bermuda and Sable Island, and various ecologically-relevant isobaths20</w:t>
                  </w:r>
                </w:p>
              </w:tc>
            </w:tr>
            <w:tr>
              <w:tc>
                <w:tcPr/>
                <w:p>
                  <w:pPr>
                    <w:pStyle w:val="Compact"/>
                    <w:jc w:val="left"/>
                    <w:jc w:val="center"/>
                  </w:pPr>
                  <w:r>
                    <w:t xml:space="preserve">DistToCanyon, DistToCanyon OrSeamount</w:t>
                  </w:r>
                </w:p>
              </w:tc>
              <w:tc>
                <w:tcPr/>
                <w:p>
                  <w:pPr>
                    <w:pStyle w:val="Compact"/>
                    <w:jc w:val="left"/>
                    <w:jc w:val="center"/>
                  </w:pPr>
                  <w:r>
                    <w:t xml:space="preserve">30 arc sec</w:t>
                  </w:r>
                </w:p>
              </w:tc>
              <w:tc>
                <w:tcPr/>
                <w:p>
                  <w:pPr>
                    <w:pStyle w:val="Compact"/>
                  </w:pPr>
                </w:p>
              </w:tc>
              <w:tc>
                <w:tcPr/>
                <w:p>
                  <w:pPr>
                    <w:pStyle w:val="Compact"/>
                    <w:jc w:val="left"/>
                    <w:jc w:val="center"/>
                  </w:pPr>
                  <w:r>
                    <w:t xml:space="preserve">Distance to the closest submarine canyon, and to the closest canyon or seamount21</w:t>
                  </w:r>
                </w:p>
              </w:tc>
            </w:tr>
            <w:tr>
              <w:tc>
                <w:tcPr/>
                <w:p>
                  <w:pPr>
                    <w:pStyle w:val="Compact"/>
                    <w:jc w:val="left"/>
                    <w:jc w:val="center"/>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jc w:val="center"/>
                  </w:pPr>
                  <w:r>
                    <w:t xml:space="preserve">SST, DistToFront</w:t>
                  </w:r>
                </w:p>
              </w:tc>
              <w:tc>
                <w:tcPr/>
                <w:p>
                  <w:pPr>
                    <w:pStyle w:val="Compact"/>
                    <w:jc w:val="left"/>
                    <w:jc w:val="center"/>
                  </w:pPr>
                  <w:r>
                    <w:t xml:space="preserve">0.2°, daily</w:t>
                  </w:r>
                </w:p>
              </w:tc>
              <w:tc>
                <w:tcPr/>
                <w:p>
                  <w:pPr>
                    <w:pStyle w:val="Compact"/>
                    <w:jc w:val="left"/>
                    <w:jc w:val="center"/>
                  </w:pPr>
                  <w:r>
                    <w:t xml:space="preserve">1991-2014</w:t>
                  </w:r>
                </w:p>
              </w:tc>
              <w:tc>
                <w:tcPr/>
                <w:p>
                  <w:pPr>
                    <w:pStyle w:val="Compact"/>
                    <w:jc w:val="left"/>
                    <w:jc w:val="center"/>
                  </w:pPr>
                  <w:r>
                    <w:t xml:space="preserve">Foundation sea surface temperature (SST), from GHRSST Level 4 CMC SST22, and distance to the closest SST front identified with the Canny edge detection algorithm23</w:t>
                  </w:r>
                </w:p>
              </w:tc>
            </w:tr>
            <w:tr>
              <w:tc>
                <w:tcPr/>
                <w:p>
                  <w:pPr>
                    <w:pStyle w:val="Compact"/>
                    <w:jc w:val="left"/>
                    <w:jc w:val="center"/>
                  </w:pPr>
                  <w:r>
                    <w:t xml:space="preserve">WindSpeed</w:t>
                  </w:r>
                </w:p>
              </w:tc>
              <w:tc>
                <w:tcPr/>
                <w:p>
                  <w:pPr>
                    <w:pStyle w:val="Compact"/>
                    <w:jc w:val="left"/>
                    <w:jc w:val="center"/>
                  </w:pPr>
                  <w:r>
                    <w:t xml:space="preserve">0.25°, daily</w:t>
                  </w:r>
                </w:p>
              </w:tc>
              <w:tc>
                <w:tcPr/>
                <w:p>
                  <w:pPr>
                    <w:pStyle w:val="Compact"/>
                    <w:jc w:val="left"/>
                    <w:jc w:val="center"/>
                  </w:pPr>
                  <w:r>
                    <w:t xml:space="preserve">1991-2014</w:t>
                  </w:r>
                </w:p>
              </w:tc>
              <w:tc>
                <w:tcPr/>
                <w:p>
                  <w:pPr>
                    <w:pStyle w:val="Compact"/>
                    <w:jc w:val="left"/>
                    <w:jc w:val="center"/>
                  </w:pPr>
                  <w:r>
                    <w:t xml:space="preserve">30-day running mean of NOAA NCDC 1/4° Blended Sea Winds24</w:t>
                  </w:r>
                </w:p>
              </w:tc>
            </w:tr>
            <w:tr>
              <w:tc>
                <w:tcPr/>
                <w:p>
                  <w:pPr>
                    <w:pStyle w:val="Compact"/>
                    <w:jc w:val="left"/>
                    <w:jc w:val="center"/>
                  </w:pPr>
                  <w:r>
                    <w:rPr>
                      <w:bCs/>
                      <w:b/>
                    </w:rPr>
                    <w:t xml:space="preserve">Currents</w:t>
                  </w:r>
                </w:p>
              </w:tc>
              <w:tc>
                <w:tcPr/>
                <w:p>
                  <w:pPr>
                    <w:pStyle w:val="Compact"/>
                  </w:pPr>
                </w:p>
              </w:tc>
              <w:tc>
                <w:tcPr/>
                <w:p>
                  <w:pPr>
                    <w:pStyle w:val="Compact"/>
                  </w:pPr>
                </w:p>
              </w:tc>
              <w:tc>
                <w:tcPr/>
                <w:p>
                  <w:pPr>
                    <w:pStyle w:val="Compact"/>
                  </w:pPr>
                </w:p>
              </w:tc>
            </w:tr>
            <w:tr>
              <w:tc>
                <w:tcPr/>
                <w:p>
                  <w:pPr>
                    <w:pStyle w:val="Compact"/>
                    <w:jc w:val="left"/>
                    <w:jc w:val="center"/>
                  </w:pPr>
                  <w:r>
                    <w:t xml:space="preserve">TKE, EKE</w:t>
                  </w:r>
                </w:p>
              </w:tc>
              <w:tc>
                <w:tcPr/>
                <w:p>
                  <w:pPr>
                    <w:pStyle w:val="Compact"/>
                    <w:jc w:val="left"/>
                    <w:jc w:val="center"/>
                  </w:pPr>
                  <w:r>
                    <w:t xml:space="preserve">0.25°, daily</w:t>
                  </w:r>
                </w:p>
              </w:tc>
              <w:tc>
                <w:tcPr/>
                <w:p>
                  <w:pPr>
                    <w:pStyle w:val="Compact"/>
                    <w:jc w:val="left"/>
                    <w:jc w:val="center"/>
                  </w:pPr>
                  <w:r>
                    <w:t xml:space="preserve">1993-2013</w:t>
                  </w:r>
                </w:p>
              </w:tc>
              <w:tc>
                <w:tcPr/>
                <w:p>
                  <w:pPr>
                    <w:pStyle w:val="Compact"/>
                    <w:jc w:val="left"/>
                    <w:jc w:val="center"/>
                  </w:pPr>
                  <w:r>
                    <w:t xml:space="preserve">Total kinetic energy (TKE) and eddy kinetic energy (EKE), from Aviso 1/4° DT-MADT geostrophic currents</w:t>
                  </w:r>
                </w:p>
              </w:tc>
            </w:tr>
            <w:tr>
              <w:tc>
                <w:tcPr/>
                <w:p>
                  <w:pPr>
                    <w:pStyle w:val="Compact"/>
                    <w:jc w:val="left"/>
                    <w:jc w:val="center"/>
                  </w:pPr>
                  <w:r>
                    <w:t xml:space="preserve">DistToEddy, DistToAEddy, DistToCEddy</w:t>
                  </w:r>
                </w:p>
              </w:tc>
              <w:tc>
                <w:tcPr/>
                <w:p>
                  <w:pPr>
                    <w:pStyle w:val="Compact"/>
                    <w:jc w:val="left"/>
                    <w:jc w:val="center"/>
                  </w:pPr>
                  <w:r>
                    <w:t xml:space="preserve">0.25°, weekly</w:t>
                  </w:r>
                </w:p>
              </w:tc>
              <w:tc>
                <w:tcPr/>
                <w:p>
                  <w:pPr>
                    <w:pStyle w:val="Compact"/>
                    <w:jc w:val="left"/>
                    <w:jc w:val="center"/>
                  </w:pPr>
                  <w:r>
                    <w:t xml:space="preserve">1993-2013</w:t>
                  </w:r>
                </w:p>
              </w:tc>
              <w:tc>
                <w:tcPr/>
                <w:p>
                  <w:pPr>
                    <w:pStyle w:val="Compact"/>
                    <w:jc w:val="left"/>
                    <w:jc w:val="center"/>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jc w:val="center"/>
                  </w:pPr>
                  <w:r>
                    <w:rPr>
                      <w:bCs/>
                      <w:b/>
                    </w:rPr>
                    <w:t xml:space="preserve">Biological</w:t>
                  </w:r>
                </w:p>
              </w:tc>
              <w:tc>
                <w:tcPr/>
                <w:p>
                  <w:pPr>
                    <w:pStyle w:val="Compact"/>
                  </w:pPr>
                </w:p>
              </w:tc>
              <w:tc>
                <w:tcPr/>
                <w:p>
                  <w:pPr>
                    <w:pStyle w:val="Compact"/>
                  </w:pPr>
                </w:p>
              </w:tc>
              <w:tc>
                <w:tcPr/>
                <w:p>
                  <w:pPr>
                    <w:pStyle w:val="Compact"/>
                  </w:pPr>
                </w:p>
              </w:tc>
            </w:tr>
            <w:tr>
              <w:tc>
                <w:tcPr/>
                <w:p>
                  <w:pPr>
                    <w:pStyle w:val="Compact"/>
                    <w:jc w:val="left"/>
                    <w:jc w:val="center"/>
                  </w:pPr>
                  <w:r>
                    <w:t xml:space="preserve">Chl</w:t>
                  </w:r>
                </w:p>
              </w:tc>
              <w:tc>
                <w:tcPr/>
                <w:p>
                  <w:pPr>
                    <w:pStyle w:val="Compact"/>
                    <w:jc w:val="left"/>
                    <w:jc w:val="center"/>
                  </w:pPr>
                  <w:r>
                    <w:t xml:space="preserve">9 km, daily</w:t>
                  </w:r>
                </w:p>
              </w:tc>
              <w:tc>
                <w:tcPr/>
                <w:p>
                  <w:pPr>
                    <w:pStyle w:val="Compact"/>
                    <w:jc w:val="left"/>
                    <w:jc w:val="center"/>
                  </w:pPr>
                  <w:r>
                    <w:t xml:space="preserve">1997-2014</w:t>
                  </w:r>
                </w:p>
              </w:tc>
              <w:tc>
                <w:tcPr/>
                <w:p>
                  <w:pPr>
                    <w:pStyle w:val="Compact"/>
                    <w:jc w:val="left"/>
                    <w:jc w:val="center"/>
                  </w:pPr>
                  <w:r>
                    <w:t xml:space="preserve">GSM merged SeaWiFS/Aqua/MERIS/VIIRS chlorophyll (Chl) a concentration26, smoothed with a 3D Gaussian smoother to reduce data loss to &lt; 10%</w:t>
                  </w:r>
                </w:p>
              </w:tc>
            </w:tr>
            <w:tr>
              <w:tc>
                <w:tcPr/>
                <w:p>
                  <w:pPr>
                    <w:pStyle w:val="Compact"/>
                    <w:jc w:val="left"/>
                    <w:jc w:val="center"/>
                  </w:pPr>
                  <w:r>
                    <w:t xml:space="preserve">VGPM, CumVGPM45, CumVGPM90</w:t>
                  </w:r>
                </w:p>
              </w:tc>
              <w:tc>
                <w:tcPr/>
                <w:p>
                  <w:pPr>
                    <w:pStyle w:val="Compact"/>
                    <w:jc w:val="left"/>
                    <w:jc w:val="center"/>
                  </w:pPr>
                  <w:r>
                    <w:t xml:space="preserve">9 km, 8 days</w:t>
                  </w:r>
                </w:p>
              </w:tc>
              <w:tc>
                <w:tcPr/>
                <w:p>
                  <w:pPr>
                    <w:pStyle w:val="Compact"/>
                    <w:jc w:val="left"/>
                    <w:jc w:val="center"/>
                  </w:pPr>
                  <w:r>
                    <w:t xml:space="preserve">1997-2014</w:t>
                  </w:r>
                </w:p>
              </w:tc>
              <w:tc>
                <w:tcPr/>
                <w:p>
                  <w:pPr>
                    <w:pStyle w:val="Compact"/>
                    <w:jc w:val="left"/>
                    <w:jc w:val="center"/>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jc w:val="center"/>
                  </w:pPr>
                  <w:r>
                    <w:t xml:space="preserve">PkPP, PkPB</w:t>
                  </w:r>
                </w:p>
              </w:tc>
              <w:tc>
                <w:tcPr/>
                <w:p>
                  <w:pPr>
                    <w:pStyle w:val="Compact"/>
                    <w:jc w:val="left"/>
                    <w:jc w:val="center"/>
                  </w:pPr>
                  <w:r>
                    <w:t xml:space="preserve">0.25°, weekly</w:t>
                  </w:r>
                </w:p>
              </w:tc>
              <w:tc>
                <w:tcPr/>
                <w:p>
                  <w:pPr>
                    <w:pStyle w:val="Compact"/>
                    <w:jc w:val="left"/>
                    <w:jc w:val="center"/>
                  </w:pPr>
                  <w:r>
                    <w:t xml:space="preserve">1997-2013</w:t>
                  </w:r>
                </w:p>
              </w:tc>
              <w:tc>
                <w:tcPr/>
                <w:p>
                  <w:pPr>
                    <w:pStyle w:val="Compact"/>
                    <w:jc w:val="left"/>
                    <w:jc w:val="center"/>
                  </w:pPr>
                  <w:r>
                    <w:t xml:space="preserve">Zooplankton production (PkPP; g m-2 day-1) and biomass (PkPB; g m-2) from the SEAPODYM ocean model28</w:t>
                  </w:r>
                </w:p>
              </w:tc>
            </w:tr>
            <w:tr>
              <w:tc>
                <w:tcPr/>
                <w:p>
                  <w:pPr>
                    <w:pStyle w:val="Compact"/>
                    <w:jc w:val="left"/>
                    <w:jc w:val="center"/>
                  </w:pPr>
                  <w:r>
                    <w:t xml:space="preserve">EpiMnkPP, EpiMnkPB</w:t>
                  </w:r>
                </w:p>
              </w:tc>
              <w:tc>
                <w:tcPr/>
                <w:p>
                  <w:pPr>
                    <w:pStyle w:val="Compact"/>
                    <w:jc w:val="left"/>
                    <w:jc w:val="center"/>
                  </w:pPr>
                  <w:r>
                    <w:t xml:space="preserve">0.25°, weekly</w:t>
                  </w:r>
                </w:p>
              </w:tc>
              <w:tc>
                <w:tcPr/>
                <w:p>
                  <w:pPr>
                    <w:pStyle w:val="Compact"/>
                    <w:jc w:val="left"/>
                    <w:jc w:val="center"/>
                  </w:pPr>
                  <w:r>
                    <w:t xml:space="preserve">1997-2013</w:t>
                  </w:r>
                </w:p>
              </w:tc>
              <w:tc>
                <w:tcPr/>
                <w:p>
                  <w:pPr>
                    <w:pStyle w:val="Compact"/>
                    <w:jc w:val="left"/>
                    <w:jc w:val="center"/>
                  </w:pPr>
                  <w:r>
                    <w:t xml:space="preserve">Epipelagic micronekton production (EpiMnkPP; g m-2 day-1) and biomass (EpiMnkPB; g m-2) from the SEAPODYM model(28)</w:t>
                  </w:r>
                </w:p>
              </w:tc>
            </w:tr>
          </w:tbl>
          <w:bookmarkEnd w:id="70"/>
          <w:p/>
        </w:tc>
      </w:tr>
    </w:tbl>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2.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5" w:name="tbl-confusion-matrix"/>
          <w:p>
            <w:pPr>
              <w:jc w:val="center"/>
            </w:pPr>
            <w:pPr>
              <w:jc w:val="start"/>
              <w:spacing w:before="200"/>
              <w:pStyle w:val="ImageCaption"/>
            </w:pPr>
            <w:r>
              <w:t xml:space="preserve">Table 12.1: Confusion matrix to understand predicted versus observed.</w:t>
            </w:r>
          </w:p>
          <w:tbl>
            <w:tblPr>
              <w:tblStyle w:val="Table"/>
              <w:tblW w:type="auto" w:w="0"/>
              <w:tblLook w:firstRow="0" w:lastRow="0" w:firstColumn="0" w:lastColumn="0" w:noHBand="0" w:noVBand="0" w:val="0000"/>
              <w:jc w:val="start"/>
            </w:tblPr>
            <w:tblGrid>
              <w:gridCol w:w="1980"/>
              <w:gridCol w:w="1980"/>
              <w:gridCol w:w="1980"/>
              <w:gridCol w:w="1980"/>
            </w:tblGrid>
            <w:tr>
              <w:tc>
                <w:tcPr/>
                <w:p>
                  <w:pPr>
                    <w:pStyle w:val="Compact"/>
                  </w:pPr>
                </w:p>
              </w:tc>
              <w:tc>
                <w:tcPr/>
                <w:p>
                  <w:pPr>
                    <w:pStyle w:val="Compact"/>
                  </w:pPr>
                </w:p>
              </w:tc>
              <w:tc>
                <w:tcPr/>
                <w:p>
                  <w:pPr>
                    <w:pStyle w:val="Compact"/>
                    <w:jc w:val="left"/>
                    <w:jc w:val="center"/>
                  </w:pPr>
                  <w:r>
                    <w:t xml:space="preserve">Predicted</w:t>
                  </w:r>
                </w:p>
              </w:tc>
              <w:tc>
                <w:tcPr/>
                <w:p>
                  <w:pPr>
                    <w:pStyle w:val="Compact"/>
                  </w:pPr>
                </w:p>
              </w:tc>
            </w:tr>
            <w:tr>
              <w:tc>
                <w:tcPr/>
                <w:p>
                  <w:pPr>
                    <w:pStyle w:val="Compact"/>
                  </w:pPr>
                </w:p>
              </w:tc>
              <w:tc>
                <w:tcPr/>
                <w:p>
                  <w:pPr>
                    <w:pStyle w:val="Compact"/>
                  </w:pPr>
                </w:p>
              </w:tc>
              <w:tc>
                <w:tcPr/>
                <w:p>
                  <w:pPr>
                    <w:pStyle w:val="Compact"/>
                    <w:jc w:val="left"/>
                    <w:jc w:val="center"/>
                  </w:pPr>
                  <w:r>
                    <w:t xml:space="preserve">0 (absence)</w:t>
                  </w:r>
                </w:p>
              </w:tc>
              <w:tc>
                <w:tcPr/>
                <w:p>
                  <w:pPr>
                    <w:pStyle w:val="Compact"/>
                    <w:jc w:val="left"/>
                    <w:jc w:val="center"/>
                  </w:pPr>
                  <w:r>
                    <w:t xml:space="preserve">1 (presence)</w:t>
                  </w:r>
                </w:p>
              </w:tc>
            </w:tr>
            <w:tr>
              <w:tc>
                <w:tcPr/>
                <w:p>
                  <w:pPr>
                    <w:pStyle w:val="Compact"/>
                    <w:jc w:val="left"/>
                    <w:jc w:val="center"/>
                  </w:pPr>
                  <w:r>
                    <w:t xml:space="preserve">Observed</w:t>
                  </w:r>
                </w:p>
              </w:tc>
              <w:tc>
                <w:tcPr/>
                <w:p>
                  <w:pPr>
                    <w:pStyle w:val="Compact"/>
                    <w:jc w:val="left"/>
                    <w:jc w:val="center"/>
                  </w:pPr>
                  <w:r>
                    <w:t xml:space="preserve">0 (absence)</w:t>
                  </w:r>
                </w:p>
              </w:tc>
              <w:tc>
                <w:tcPr/>
                <w:p>
                  <w:pPr>
                    <w:pStyle w:val="Compact"/>
                    <w:jc w:val="left"/>
                    <w:jc w:val="center"/>
                  </w:pPr>
                  <w:r>
                    <w:t xml:space="preserve">True absence</w:t>
                  </w:r>
                </w:p>
              </w:tc>
              <w:tc>
                <w:tcPr/>
                <w:p>
                  <w:pPr>
                    <w:pStyle w:val="Compact"/>
                    <w:jc w:val="left"/>
                    <w:jc w:val="center"/>
                  </w:pPr>
                  <w:r>
                    <w:t xml:space="preserve">False presence</w:t>
                  </w:r>
                </w:p>
              </w:tc>
            </w:tr>
            <w:tr>
              <w:tc>
                <w:tcPr/>
                <w:p>
                  <w:pPr>
                    <w:pStyle w:val="Compact"/>
                  </w:pPr>
                </w:p>
              </w:tc>
              <w:tc>
                <w:tcPr/>
                <w:p>
                  <w:pPr>
                    <w:pStyle w:val="Compact"/>
                    <w:jc w:val="left"/>
                    <w:jc w:val="center"/>
                  </w:pPr>
                  <w:r>
                    <w:t xml:space="preserve">1 (presence)</w:t>
                  </w:r>
                </w:p>
              </w:tc>
              <w:tc>
                <w:tcPr/>
                <w:p>
                  <w:pPr>
                    <w:pStyle w:val="Compact"/>
                    <w:jc w:val="left"/>
                    <w:jc w:val="center"/>
                  </w:pPr>
                  <w:r>
                    <w:t xml:space="preserve">False absence</w:t>
                  </w:r>
                </w:p>
              </w:tc>
              <w:tc>
                <w:tcPr/>
                <w:p>
                  <w:pPr>
                    <w:pStyle w:val="Compact"/>
                    <w:jc w:val="left"/>
                    <w:jc w:val="center"/>
                  </w:pPr>
                  <w:r>
                    <w:t xml:space="preserve">True presence</w:t>
                  </w:r>
                </w:p>
              </w:tc>
            </w:tr>
          </w:tbl>
          <w:bookmarkEnd w:id="85"/>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90" w:name="fig-rocr"/>
          <w:p>
            <w:pPr>
              <w:pStyle w:val="Compact"/>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p>
      <w:pPr>
        <w:numPr>
          <w:ilvl w:val="0"/>
          <w:numId w:val="1020"/>
        </w:numPr>
        <w:pStyle w:val="Compact"/>
      </w:pPr>
      <w:r>
        <w:t xml:space="preserve">See joint species distribution models (jSDMs) per Hartig et al</w:t>
      </w:r>
      <w:r>
        <w:t xml:space="preserve"> </w:t>
      </w:r>
      <w:r>
        <w:t xml:space="preserve">(2023, Box 2)</w:t>
      </w:r>
      <w:r>
        <w:t xml:space="preserve"> </w:t>
      </w:r>
      <w:r>
        <w:t xml:space="preserve">that includes species co-occurrence.</w:t>
      </w:r>
    </w:p>
    <w:bookmarkEnd w:id="94"/>
    <w:bookmarkStart w:id="99" w:name="ensemble"/>
    <w:p>
      <w:pPr>
        <w:pStyle w:val="Heading1"/>
      </w:pPr>
      <w:r>
        <w:t xml:space="preserve">14. Ensemble</w:t>
      </w:r>
    </w:p>
    <w:p>
      <w:pPr>
        <w:numPr>
          <w:ilvl w:val="0"/>
          <w:numId w:val="1021"/>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Layout w:type="fixed"/>
      </w:tblPr>
      <w:tblGrid>
        <w:gridCol w:w="7920"/>
      </w:tblGrid>
      <w:tr>
        <w:tc>
          <w:tcPr/>
          <w:bookmarkStart w:id="103" w:name="fig-sdm-response-hierarchy"/>
          <w:p>
            <w:pPr>
              <w:pStyle w:val="Compact"/>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off"/>
                    <m:supHide m:val="off"/>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off"/>
                    <m:supHide m:val="off"/>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off"/>
                        <m:supHide m:val="off"/>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off"/>
            <m:supHide m:val="off"/>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2"/>
        </w:numPr>
      </w:pPr>
      <w:r>
        <w:t xml:space="preserve">input</w:t>
      </w:r>
    </w:p>
    <w:p>
      <w:pPr>
        <w:numPr>
          <w:ilvl w:val="1"/>
          <w:numId w:val="1023"/>
        </w:numPr>
      </w:pPr>
      <w:r>
        <w:t xml:space="preserve">input observations</w:t>
      </w:r>
    </w:p>
    <w:p>
      <w:pPr>
        <w:numPr>
          <w:ilvl w:val="1"/>
          <w:numId w:val="1023"/>
        </w:numPr>
      </w:pPr>
      <w:r>
        <w:t xml:space="preserve">environmental predictors</w:t>
      </w:r>
      <w:r>
        <w:br/>
      </w:r>
      <w:r>
        <w:t xml:space="preserve">and range of values in original observations</w:t>
      </w:r>
    </w:p>
    <w:p>
      <w:pPr>
        <w:numPr>
          <w:ilvl w:val="1"/>
          <w:numId w:val="1023"/>
        </w:numPr>
      </w:pPr>
      <w:r>
        <w:t xml:space="preserve">model type and object</w:t>
      </w:r>
    </w:p>
    <w:p>
      <w:pPr>
        <w:numPr>
          <w:ilvl w:val="0"/>
          <w:numId w:val="1022"/>
        </w:numPr>
      </w:pPr>
      <w:r>
        <w:t xml:space="preserve">outputs</w:t>
      </w:r>
    </w:p>
    <w:p>
      <w:pPr>
        <w:numPr>
          <w:ilvl w:val="1"/>
          <w:numId w:val="1024"/>
        </w:numPr>
      </w:pPr>
      <w:r>
        <w:t xml:space="preserve">model object</w:t>
      </w:r>
    </w:p>
    <w:p>
      <w:pPr>
        <w:numPr>
          <w:ilvl w:val="1"/>
          <w:numId w:val="1024"/>
        </w:numPr>
      </w:pPr>
      <w:r>
        <w:t xml:space="preserve">mean prediction</w:t>
      </w:r>
    </w:p>
    <w:p>
      <w:pPr>
        <w:numPr>
          <w:ilvl w:val="1"/>
          <w:numId w:val="1024"/>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5"/>
        </w:numPr>
        <w:pStyle w:val="Compact"/>
      </w:pPr>
      <w:r>
        <w:t xml:space="preserve">Existing portals used to share SDMs</w:t>
      </w:r>
    </w:p>
    <w:p>
      <w:pPr>
        <w:numPr>
          <w:ilvl w:val="1"/>
          <w:numId w:val="1026"/>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6"/>
        </w:numPr>
      </w:pPr>
      <w:hyperlink r:id="rId120">
        <w:r>
          <w:rPr>
            <w:rStyle w:val="Hyperlink"/>
          </w:rPr>
          <w:t xml:space="preserve">DisMAP</w:t>
        </w:r>
      </w:hyperlink>
      <w:r>
        <w:br/>
      </w:r>
      <w:r>
        <w:rPr>
          <w:iCs/>
          <w:i/>
        </w:rPr>
        <w:t xml:space="preserve">Distribution Mapping and Analysis Portal</w:t>
      </w:r>
    </w:p>
    <w:p>
      <w:pPr>
        <w:numPr>
          <w:ilvl w:val="1"/>
          <w:numId w:val="1026"/>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6"/>
        </w:numPr>
      </w:pPr>
      <w:hyperlink r:id="rId122">
        <w:r>
          <w:rPr>
            <w:rStyle w:val="Hyperlink"/>
          </w:rPr>
          <w:t xml:space="preserve">NCEI</w:t>
        </w:r>
      </w:hyperlink>
      <w:r>
        <w:br/>
      </w:r>
      <w:r>
        <w:rPr>
          <w:iCs/>
          <w:i/>
        </w:rPr>
        <w:t xml:space="preserve">National Centers for Environmental Information (NOAA)</w:t>
      </w:r>
    </w:p>
    <w:p>
      <w:pPr>
        <w:numPr>
          <w:ilvl w:val="1"/>
          <w:numId w:val="1026"/>
        </w:numPr>
      </w:pPr>
      <w:hyperlink r:id="rId123">
        <w:r>
          <w:rPr>
            <w:rStyle w:val="Hyperlink"/>
          </w:rPr>
          <w:t xml:space="preserve">DataONE</w:t>
        </w:r>
      </w:hyperlink>
      <w:r>
        <w:br/>
      </w:r>
      <w:r>
        <w:rPr>
          <w:iCs/>
          <w:i/>
        </w:rPr>
        <w:t xml:space="preserve">Data Observation Network for Earth</w:t>
      </w:r>
    </w:p>
    <w:p>
      <w:pPr>
        <w:numPr>
          <w:ilvl w:val="1"/>
          <w:numId w:val="1026"/>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5"/>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7"/>
        </w:numPr>
        <w:pStyle w:val="Compact"/>
      </w:pPr>
      <w:r>
        <w:rPr>
          <w:bCs/>
          <w:b/>
        </w:rPr>
        <w:t xml:space="preserve">MarineRegions.org</w:t>
      </w:r>
      <w:r>
        <w:br/>
      </w:r>
      <w:r>
        <w:rPr>
          <w:iCs/>
          <w:i/>
        </w:rPr>
        <w:t xml:space="preserve">spatial authority</w:t>
      </w:r>
    </w:p>
    <w:p>
      <w:pPr>
        <w:numPr>
          <w:ilvl w:val="1"/>
          <w:numId w:val="1027"/>
        </w:numPr>
        <w:pStyle w:val="Compact"/>
      </w:pPr>
      <w:r>
        <w:rPr>
          <w:bCs/>
          <w:b/>
        </w:rPr>
        <w:t xml:space="preserve">MarineSpecies.org</w:t>
      </w:r>
      <w:r>
        <w:br/>
      </w:r>
      <w:r>
        <w:rPr>
          <w:iCs/>
          <w:i/>
        </w:rPr>
        <w:t xml:space="preserve">taxonomic authority</w:t>
      </w:r>
    </w:p>
    <w:bookmarkEnd w:id="126"/>
    <w:bookmarkStart w:id="177" w:name="references"/>
    <w:p>
      <w:pPr>
        <w:pStyle w:val="Heading1"/>
      </w:pPr>
      <w:r>
        <w:t xml:space="preserve">References</w:t>
      </w:r>
    </w:p>
    <w:bookmarkStart w:id="176"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hartig2023"/>
    <w:p>
      <w:pPr>
        <w:pStyle w:val="Bibliography"/>
      </w:pPr>
      <w:r>
        <w:t xml:space="preserve">Hartig, Florian, Nerea Abrego, Alex Bush, Jonathan M. Chase, Gurutzeta Guillera-Arroita, Mathew A. Leibold, Otso Ovaskainen, et al. 2023.</w:t>
      </w:r>
      <w:r>
        <w:t xml:space="preserve"> </w:t>
      </w:r>
      <w:r>
        <w:t xml:space="preserve">“Novel Community Data in Ecology-Properties and Prospects.”</w:t>
      </w:r>
      <w:r>
        <w:t xml:space="preserve"> </w:t>
      </w:r>
      <w:r>
        <w:rPr>
          <w:iCs/>
          <w:i/>
        </w:rPr>
        <w:t xml:space="preserve">Trends in Ecology &amp; Evolution</w:t>
      </w:r>
      <w:r>
        <w:t xml:space="preserve"> </w:t>
      </w:r>
      <w:r>
        <w:t xml:space="preserve">0 (0).</w:t>
      </w:r>
      <w:r>
        <w:t xml:space="preserve"> </w:t>
      </w:r>
      <w:hyperlink r:id="rId148">
        <w:r>
          <w:rPr>
            <w:rStyle w:val="Hyperlink"/>
          </w:rPr>
          <w:t xml:space="preserve">https://doi.org/10.1016/j.tree.2023.09.017</w:t>
        </w:r>
      </w:hyperlink>
      <w:r>
        <w:t xml:space="preserve">.</w:t>
      </w:r>
    </w:p>
    <w:bookmarkEnd w:id="149"/>
    <w:bookmarkStart w:id="151"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50">
        <w:r>
          <w:rPr>
            <w:rStyle w:val="Hyperlink"/>
          </w:rPr>
          <w:t xml:space="preserve">https://doi.org/10.3354/meps316285</w:t>
        </w:r>
      </w:hyperlink>
      <w:r>
        <w:t xml:space="preserve">.</w:t>
      </w:r>
    </w:p>
    <w:bookmarkEnd w:id="151"/>
    <w:bookmarkStart w:id="153"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2">
        <w:r>
          <w:rPr>
            <w:rStyle w:val="Hyperlink"/>
          </w:rPr>
          <w:t xml:space="preserve">https://doi.org/10.1111/ecog.06547</w:t>
        </w:r>
      </w:hyperlink>
      <w:r>
        <w:t xml:space="preserve">.</w:t>
      </w:r>
    </w:p>
    <w:bookmarkEnd w:id="153"/>
    <w:bookmarkStart w:id="155"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4">
        <w:r>
          <w:rPr>
            <w:rStyle w:val="Hyperlink"/>
          </w:rPr>
          <w:t xml:space="preserve">https://www.frontiersin.org/articles/10.3389/fmars.2019.00588</w:t>
        </w:r>
      </w:hyperlink>
      <w:r>
        <w:t xml:space="preserve">.</w:t>
      </w:r>
    </w:p>
    <w:bookmarkEnd w:id="155"/>
    <w:bookmarkStart w:id="157"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6">
        <w:r>
          <w:rPr>
            <w:rStyle w:val="Hyperlink"/>
          </w:rPr>
          <w:t xml:space="preserve">https://doi.org/10.3389/fmars.2018.00211</w:t>
        </w:r>
      </w:hyperlink>
      <w:r>
        <w:t xml:space="preserve">.</w:t>
      </w:r>
    </w:p>
    <w:bookmarkEnd w:id="157"/>
    <w:bookmarkStart w:id="159"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8">
        <w:r>
          <w:rPr>
            <w:rStyle w:val="Hyperlink"/>
          </w:rPr>
          <w:t xml:space="preserve">https://doi.org/10.1111/ecog.03049</w:t>
        </w:r>
      </w:hyperlink>
      <w:r>
        <w:t xml:space="preserve">.</w:t>
      </w:r>
    </w:p>
    <w:bookmarkEnd w:id="159"/>
    <w:bookmarkStart w:id="161"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60">
        <w:r>
          <w:rPr>
            <w:rStyle w:val="Hyperlink"/>
          </w:rPr>
          <w:t xml:space="preserve">https://doi.org/10.1016/j.ecolmodel.2005.03.026</w:t>
        </w:r>
      </w:hyperlink>
      <w:r>
        <w:t xml:space="preserve">.</w:t>
      </w:r>
    </w:p>
    <w:bookmarkEnd w:id="161"/>
    <w:bookmarkStart w:id="163"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2">
        <w:r>
          <w:rPr>
            <w:rStyle w:val="Hyperlink"/>
          </w:rPr>
          <w:t xml:space="preserve">https://doi.org/10.1111/j.0906-7590.2008.5203.x</w:t>
        </w:r>
      </w:hyperlink>
      <w:r>
        <w:t xml:space="preserve">.</w:t>
      </w:r>
    </w:p>
    <w:bookmarkEnd w:id="163"/>
    <w:bookmarkStart w:id="165"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4">
        <w:r>
          <w:rPr>
            <w:rStyle w:val="Hyperlink"/>
          </w:rPr>
          <w:t xml:space="preserve">https://doi.org/10.1016/j.ecolmodel.2009.10.025</w:t>
        </w:r>
      </w:hyperlink>
      <w:r>
        <w:t xml:space="preserve">.</w:t>
      </w:r>
    </w:p>
    <w:bookmarkEnd w:id="165"/>
    <w:bookmarkStart w:id="167"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6">
        <w:r>
          <w:rPr>
            <w:rStyle w:val="Hyperlink"/>
          </w:rPr>
          <w:t xml:space="preserve">https://doi.org/10.1038/srep22615</w:t>
        </w:r>
      </w:hyperlink>
      <w:r>
        <w:t xml:space="preserve">.</w:t>
      </w:r>
    </w:p>
    <w:bookmarkEnd w:id="167"/>
    <w:bookmarkStart w:id="169" w:name="ref-aquamapsdata"/>
    <w:p>
      <w:pPr>
        <w:pStyle w:val="Bibliography"/>
      </w:pPr>
      <w:r>
        <w:t xml:space="preserve">Skyttner, Markus. 2020.</w:t>
      </w:r>
      <w:r>
        <w:t xml:space="preserve"> </w:t>
      </w:r>
      <w:r>
        <w:t xml:space="preserve">“Aquamapsdata: Curated Data from AquaMaps.org.”</w:t>
      </w:r>
      <w:r>
        <w:t xml:space="preserve"> </w:t>
      </w:r>
      <w:hyperlink r:id="rId168">
        <w:r>
          <w:rPr>
            <w:rStyle w:val="Hyperlink"/>
          </w:rPr>
          <w:t xml:space="preserve">https://github.com/raquamaps/aquamapsdata</w:t>
        </w:r>
      </w:hyperlink>
      <w:r>
        <w:t xml:space="preserve">.</w:t>
      </w:r>
    </w:p>
    <w:bookmarkEnd w:id="169"/>
    <w:bookmarkStart w:id="171"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70">
        <w:r>
          <w:rPr>
            <w:rStyle w:val="Hyperlink"/>
          </w:rPr>
          <w:t xml:space="preserve">https://doi.org/10.1038/nature09329</w:t>
        </w:r>
      </w:hyperlink>
      <w:r>
        <w:t xml:space="preserve">.</w:t>
      </w:r>
    </w:p>
    <w:bookmarkEnd w:id="171"/>
    <w:bookmarkStart w:id="173"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2">
        <w:r>
          <w:rPr>
            <w:rStyle w:val="Hyperlink"/>
          </w:rPr>
          <w:t xml:space="preserve">https://doi.org/10.1016/j.marpol.2020.103927</w:t>
        </w:r>
      </w:hyperlink>
      <w:r>
        <w:t xml:space="preserve">.</w:t>
      </w:r>
    </w:p>
    <w:bookmarkEnd w:id="173"/>
    <w:bookmarkStart w:id="17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4">
        <w:r>
          <w:rPr>
            <w:rStyle w:val="Hyperlink"/>
          </w:rPr>
          <w:t xml:space="preserve">https://doi.org/10.1111/ecog.04960</w:t>
        </w:r>
      </w:hyperlink>
      <w:r>
        <w:t xml:space="preserve">.</w:t>
      </w:r>
    </w:p>
    <w:bookmarkEnd w:id="175"/>
    <w:bookmarkEnd w:id="176"/>
    <w:bookmarkEnd w:id="177"/>
    <w:bookmarkStart w:id="179"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Layout w:type="fixed"/>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8">
              <w:r>
                <w:rPr>
                  <w:rStyle w:val="Hyperlink"/>
                </w:rPr>
                <w:t xml:space="preserve">MarineBON.org</w:t>
              </w:r>
            </w:hyperlink>
          </w:p>
        </w:tc>
      </w:tr>
    </w:tbl>
    <w:bookmarkEnd w:id="179"/>
    <w:bookmarkStart w:id="185"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8"/>
        </w:numPr>
      </w:pPr>
      <w:hyperlink r:id="rId180">
        <w:r>
          <w:rPr>
            <w:rStyle w:val="Hyperlink"/>
          </w:rPr>
          <w:t xml:space="preserve"> </w:t>
        </w:r>
        <w:r>
          <w:rPr>
            <w:rStyle w:val="Hyperlink"/>
          </w:rPr>
          <w:t xml:space="preserve">website</w:t>
        </w:r>
      </w:hyperlink>
    </w:p>
    <w:p>
      <w:pPr>
        <w:numPr>
          <w:ilvl w:val="0"/>
          <w:numId w:val="1028"/>
        </w:numPr>
      </w:pPr>
      <w:hyperlink r:id="rId181">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3" name="Picture"/>
            <a:graphic>
              <a:graphicData uri="http://schemas.openxmlformats.org/drawingml/2006/picture">
                <pic:pic>
                  <pic:nvPicPr>
                    <pic:cNvPr descr="explorations/../figures/explorations/aquamaps-downscaled.png" id="184" name="Picture"/>
                    <pic:cNvPicPr>
                      <a:picLocks noChangeArrowheads="1" noChangeAspect="1"/>
                    </pic:cNvPicPr>
                  </pic:nvPicPr>
                  <pic:blipFill>
                    <a:blip r:embed="rId182"/>
                    <a:stretch>
                      <a:fillRect/>
                    </a:stretch>
                  </pic:blipFill>
                  <pic:spPr bwMode="auto">
                    <a:xfrm>
                      <a:off x="0" y="0"/>
                      <a:ext cx="5334000" cy="2760009"/>
                    </a:xfrm>
                    <a:prstGeom prst="rect">
                      <a:avLst/>
                    </a:prstGeom>
                    <a:noFill/>
                    <a:ln w="9525">
                      <a:noFill/>
                      <a:headEnd/>
                      <a:tailEnd/>
                    </a:ln>
                  </pic:spPr>
                </pic:pic>
              </a:graphicData>
            </a:graphic>
          </wp:inline>
        </w:drawing>
      </w:r>
    </w:p>
    <w:bookmarkEnd w:id="185"/>
    <w:bookmarkStart w:id="191"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9"/>
        </w:numPr>
      </w:pPr>
      <w:hyperlink r:id="rId186">
        <w:r>
          <w:rPr>
            <w:rStyle w:val="Hyperlink"/>
          </w:rPr>
          <w:t xml:space="preserve"> </w:t>
        </w:r>
        <w:r>
          <w:rPr>
            <w:rStyle w:val="Hyperlink"/>
          </w:rPr>
          <w:t xml:space="preserve">website</w:t>
        </w:r>
      </w:hyperlink>
    </w:p>
    <w:p>
      <w:pPr>
        <w:numPr>
          <w:ilvl w:val="0"/>
          <w:numId w:val="1029"/>
        </w:numPr>
      </w:pPr>
      <w:hyperlink r:id="rId187">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9" name="Picture"/>
            <a:graphic>
              <a:graphicData uri="http://schemas.openxmlformats.org/drawingml/2006/picture">
                <pic:pic>
                  <pic:nvPicPr>
                    <pic:cNvPr descr="https://marinebon.github.io/aquamaps-downscaled/index_files/figure-html/fig-blue_whale_env_yes-1.png" id="190" name="Picture"/>
                    <pic:cNvPicPr>
                      <a:picLocks noChangeArrowheads="1" noChangeAspect="1"/>
                    </pic:cNvPicPr>
                  </pic:nvPicPr>
                  <pic:blipFill>
                    <a:blip r:embed="rId188"/>
                    <a:stretch>
                      <a:fillRect/>
                    </a:stretch>
                  </pic:blipFill>
                  <pic:spPr bwMode="auto">
                    <a:xfrm>
                      <a:off x="0" y="0"/>
                      <a:ext cx="5334000" cy="3810000"/>
                    </a:xfrm>
                    <a:prstGeom prst="rect">
                      <a:avLst/>
                    </a:prstGeom>
                    <a:noFill/>
                    <a:ln w="9525">
                      <a:noFill/>
                      <a:headEnd/>
                      <a:tailEnd/>
                    </a:ln>
                  </pic:spPr>
                </pic:pic>
              </a:graphicData>
            </a:graphic>
          </wp:inline>
        </w:drawing>
      </w:r>
    </w:p>
    <w:bookmarkEnd w:id="191"/>
    <w:bookmarkStart w:id="198" w:name="aquamaps-treemap"/>
    <w:p>
      <w:pPr>
        <w:pStyle w:val="Heading1"/>
      </w:pPr>
      <w:r>
        <w:t xml:space="preserve">AquaMaps Treemap</w:t>
      </w:r>
    </w:p>
    <w:p>
      <w:pPr>
        <w:pStyle w:val="FirstParagraph"/>
      </w:pPr>
      <w:r>
        <w:t xml:space="preserve">Select a Sanctuary or Draw a polygon to filter to 1/2º AquaMaps species and view as Table or treemap Plot for interactive taxonomic composition.</w:t>
      </w:r>
    </w:p>
    <w:p>
      <w:pPr>
        <w:numPr>
          <w:ilvl w:val="0"/>
          <w:numId w:val="1030"/>
        </w:numPr>
      </w:pPr>
      <w:hyperlink r:id="rId192">
        <w:r>
          <w:rPr>
            <w:rStyle w:val="Hyperlink"/>
          </w:rPr>
          <w:t xml:space="preserve"> </w:t>
        </w:r>
        <w:r>
          <w:rPr>
            <w:rStyle w:val="Hyperlink"/>
          </w:rPr>
          <w:t xml:space="preserve">website</w:t>
        </w:r>
      </w:hyperlink>
    </w:p>
    <w:p>
      <w:pPr>
        <w:numPr>
          <w:ilvl w:val="0"/>
          <w:numId w:val="1030"/>
        </w:numPr>
      </w:pPr>
      <w:hyperlink r:id="rId193">
        <w:r>
          <w:rPr>
            <w:rStyle w:val="Hyperlink"/>
          </w:rPr>
          <w:t xml:space="preserve"> </w:t>
        </w:r>
        <w:r>
          <w:rPr>
            <w:rStyle w:val="VerbatimChar"/>
          </w:rPr>
          <w:t xml:space="preserve">code</w:t>
        </w:r>
      </w:hyperlink>
    </w:p>
    <w:p>
      <w:pPr>
        <w:pStyle w:val="FirstParagraph"/>
      </w:pPr>
      <w:r>
        <w:drawing>
          <wp:inline>
            <wp:extent cx="5334000" cy="3613945"/>
            <wp:effectExtent b="0" l="0" r="0" t="0"/>
            <wp:docPr descr="" title="" id="195" name="Picture"/>
            <a:graphic>
              <a:graphicData uri="http://schemas.openxmlformats.org/drawingml/2006/picture">
                <pic:pic>
                  <pic:nvPicPr>
                    <pic:cNvPr descr="explorations/../figures/explorations/am-tree.png" id="196" name="Picture"/>
                    <pic:cNvPicPr>
                      <a:picLocks noChangeArrowheads="1" noChangeAspect="1"/>
                    </pic:cNvPicPr>
                  </pic:nvPicPr>
                  <pic:blipFill>
                    <a:blip r:embed="rId194"/>
                    <a:stretch>
                      <a:fillRect/>
                    </a:stretch>
                  </pic:blipFill>
                  <pic:spPr bwMode="auto">
                    <a:xfrm>
                      <a:off x="0" y="0"/>
                      <a:ext cx="5334000" cy="3613945"/>
                    </a:xfrm>
                    <a:prstGeom prst="rect">
                      <a:avLst/>
                    </a:prstGeom>
                    <a:noFill/>
                    <a:ln w="9525">
                      <a:noFill/>
                      <a:headEnd/>
                      <a:tailEnd/>
                    </a:ln>
                  </pic:spPr>
                </pic:pic>
              </a:graphicData>
            </a:graphic>
          </wp:inline>
        </w:drawing>
      </w:r>
    </w:p>
    <w:p>
      <w:pPr>
        <w:pStyle w:val="BodyText"/>
      </w:pPr>
      <w:r>
        <w:t xml:space="preserve">This app uses</w:t>
      </w:r>
      <w:r>
        <w:t xml:space="preserve"> </w:t>
      </w:r>
      <w:hyperlink r:id="rId197">
        <w:r>
          <w:rPr>
            <w:rStyle w:val="VerbatimChar"/>
          </w:rPr>
          <w:t xml:space="preserve">aquamapsdata</w:t>
        </w:r>
      </w:hyperlink>
      <w:r>
        <w:t xml:space="preserve"> </w:t>
      </w:r>
      <w:r>
        <w:t xml:space="preserve">after translating from</w:t>
      </w:r>
      <w:r>
        <w:t xml:space="preserve"> </w:t>
      </w:r>
      <w:r>
        <w:rPr>
          <w:rStyle w:val="VerbatimChar"/>
        </w:rPr>
        <w:t xml:space="preserve">sqlite</w:t>
      </w:r>
      <w:r>
        <w:t xml:space="preserve"> </w:t>
      </w:r>
      <w:r>
        <w:t xml:space="preserve">(slow) and</w:t>
      </w:r>
      <w:r>
        <w:t xml:space="preserve"> </w:t>
      </w:r>
      <w:r>
        <w:rPr>
          <w:rStyle w:val="VerbatimChar"/>
        </w:rPr>
        <w:t xml:space="preserve">raster</w:t>
      </w:r>
      <w:r>
        <w:t xml:space="preserve"> </w:t>
      </w:r>
      <w:r>
        <w:t xml:space="preserve">(deprecated) R functions to</w:t>
      </w:r>
      <w:r>
        <w:t xml:space="preserve"> </w:t>
      </w:r>
      <w:r>
        <w:rPr>
          <w:rStyle w:val="VerbatimChar"/>
        </w:rPr>
        <w:t xml:space="preserve">duckdb</w:t>
      </w:r>
      <w:r>
        <w:t xml:space="preserve"> </w:t>
      </w:r>
      <w:r>
        <w:t xml:space="preserve">(fast) and</w:t>
      </w:r>
      <w:r>
        <w:t xml:space="preserve"> </w:t>
      </w:r>
      <w:r>
        <w:rPr>
          <w:rStyle w:val="VerbatimChar"/>
        </w:rPr>
        <w:t xml:space="preserve">terra</w:t>
      </w:r>
      <w:r>
        <w:t xml:space="preserve"> </w:t>
      </w:r>
      <w:r>
        <w:t xml:space="preserve">(superceding) R functions. We can use these distributional data to calculate place-based indicators with anticipation of the distributional data getting improved upon in 2024 by AquaX and others.</w:t>
      </w:r>
    </w:p>
    <w:bookmarkEnd w:id="198"/>
    <w:bookmarkStart w:id="204" w:name="sdm-predicts"/>
    <w:p>
      <w:pPr>
        <w:pStyle w:val="Heading1"/>
      </w:pPr>
      <w:r>
        <w:t xml:space="preserve">SDM</w:t>
      </w:r>
      <w:r>
        <w:t xml:space="preserve"> </w:t>
      </w:r>
      <w:r>
        <w:rPr>
          <w:rStyle w:val="VerbatimChar"/>
        </w:rPr>
        <w:t xml:space="preserve">predicts</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1"/>
        </w:numPr>
      </w:pPr>
      <w:hyperlink r:id="rId199">
        <w:r>
          <w:rPr>
            <w:rStyle w:val="Hyperlink"/>
          </w:rPr>
          <w:t xml:space="preserve"> </w:t>
        </w:r>
        <w:r>
          <w:rPr>
            <w:rStyle w:val="Hyperlink"/>
          </w:rPr>
          <w:t xml:space="preserve">website</w:t>
        </w:r>
      </w:hyperlink>
    </w:p>
    <w:p>
      <w:pPr>
        <w:numPr>
          <w:ilvl w:val="0"/>
          <w:numId w:val="1031"/>
        </w:numPr>
      </w:pPr>
      <w:hyperlink r:id="rId200">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2" name="Picture"/>
            <a:graphic>
              <a:graphicData uri="http://schemas.openxmlformats.org/drawingml/2006/picture">
                <pic:pic>
                  <pic:nvPicPr>
                    <pic:cNvPr descr="explorations/../figures/explorations/sdm-1_predicts.png" id="203" name="Picture"/>
                    <pic:cNvPicPr>
                      <a:picLocks noChangeArrowheads="1" noChangeAspect="1"/>
                    </pic:cNvPicPr>
                  </pic:nvPicPr>
                  <pic:blipFill>
                    <a:blip r:embed="rId201"/>
                    <a:stretch>
                      <a:fillRect/>
                    </a:stretch>
                  </pic:blipFill>
                  <pic:spPr bwMode="auto">
                    <a:xfrm>
                      <a:off x="0" y="0"/>
                      <a:ext cx="5334000" cy="2975867"/>
                    </a:xfrm>
                    <a:prstGeom prst="rect">
                      <a:avLst/>
                    </a:prstGeom>
                    <a:noFill/>
                    <a:ln w="9525">
                      <a:noFill/>
                      <a:headEnd/>
                      <a:tailEnd/>
                    </a:ln>
                  </pic:spPr>
                </pic:pic>
              </a:graphicData>
            </a:graphic>
          </wp:inline>
        </w:drawing>
      </w:r>
    </w:p>
    <w:bookmarkEnd w:id="204"/>
    <w:bookmarkStart w:id="210" w:name="obis-top-classes"/>
    <w:p>
      <w:pPr>
        <w:pStyle w:val="Heading1"/>
      </w:pPr>
      <w:r>
        <w:t xml:space="preserve">OBIS Top Classes</w:t>
      </w:r>
    </w:p>
    <w:p>
      <w:pPr>
        <w:pStyle w:val="FirstParagraph"/>
      </w:pPr>
      <w:r>
        <w:t xml:space="preserve">Extract the species with the most numerous observations by unique Class from the OBIS parquet archive in R.</w:t>
      </w:r>
    </w:p>
    <w:p>
      <w:pPr>
        <w:numPr>
          <w:ilvl w:val="0"/>
          <w:numId w:val="1032"/>
        </w:numPr>
      </w:pPr>
      <w:hyperlink r:id="rId205">
        <w:r>
          <w:rPr>
            <w:rStyle w:val="Hyperlink"/>
          </w:rPr>
          <w:t xml:space="preserve"> </w:t>
        </w:r>
        <w:r>
          <w:rPr>
            <w:rStyle w:val="Hyperlink"/>
          </w:rPr>
          <w:t xml:space="preserve">website</w:t>
        </w:r>
      </w:hyperlink>
    </w:p>
    <w:p>
      <w:pPr>
        <w:numPr>
          <w:ilvl w:val="0"/>
          <w:numId w:val="1032"/>
        </w:numPr>
      </w:pPr>
      <w:hyperlink r:id="rId206">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08" name="Picture"/>
            <a:graphic>
              <a:graphicData uri="http://schemas.openxmlformats.org/drawingml/2006/picture">
                <pic:pic>
                  <pic:nvPicPr>
                    <pic:cNvPr descr="explorations/../figures/explorations/obis-top-spp-by-class.png" id="209" name="Picture"/>
                    <pic:cNvPicPr>
                      <a:picLocks noChangeArrowheads="1" noChangeAspect="1"/>
                    </pic:cNvPicPr>
                  </pic:nvPicPr>
                  <pic:blipFill>
                    <a:blip r:embed="rId207"/>
                    <a:stretch>
                      <a:fillRect/>
                    </a:stretch>
                  </pic:blipFill>
                  <pic:spPr bwMode="auto">
                    <a:xfrm>
                      <a:off x="0" y="0"/>
                      <a:ext cx="5334000" cy="3759000"/>
                    </a:xfrm>
                    <a:prstGeom prst="rect">
                      <a:avLst/>
                    </a:prstGeom>
                    <a:noFill/>
                    <a:ln w="9525">
                      <a:noFill/>
                      <a:headEnd/>
                      <a:tailEnd/>
                    </a:ln>
                  </pic:spPr>
                </pic:pic>
              </a:graphicData>
            </a:graphic>
          </wp:inline>
        </w:drawing>
      </w:r>
    </w:p>
    <w:bookmarkEnd w:id="210"/>
    <w:bookmarkStart w:id="223" w:name="software"/>
    <w:p>
      <w:pPr>
        <w:pStyle w:val="Heading1"/>
      </w:pPr>
      <w:r>
        <w:t xml:space="preserve">Software</w:t>
      </w:r>
    </w:p>
    <w:bookmarkStart w:id="217"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3"/>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11" name="Picture"/>
            <a:graphic>
              <a:graphicData uri="http://schemas.openxmlformats.org/drawingml/2006/picture">
                <pic:pic>
                  <pic:nvPicPr>
                    <pic:cNvPr descr="https://biomodhub.github.io/biomod2/articles/pictures/SCHEMA_BIOMOD2_WORKFLOW_functions.png" id="212"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Layout w:type="fixed"/>
      </w:tblPr>
      <w:tblGrid>
        <w:gridCol w:w="7920"/>
      </w:tblGrid>
      <w:tr>
        <w:tc>
          <w:tcPr/>
          <w:bookmarkStart w:id="215" w:name="fig-eks"/>
          <w:p>
            <w:pPr>
              <w:pStyle w:val="Compact"/>
              <w:jc w:val="center"/>
            </w:pPr>
            <w:r>
              <w:drawing>
                <wp:inline>
                  <wp:extent cx="4620126" cy="4620126"/>
                  <wp:effectExtent b="0" l="0" r="0" t="0"/>
                  <wp:docPr descr="" title="" id="213" name="Picture"/>
                  <a:graphic>
                    <a:graphicData uri="http://schemas.openxmlformats.org/drawingml/2006/picture">
                      <pic:pic>
                        <pic:nvPicPr>
                          <pic:cNvPr descr="figures/software/eks.png" id="214"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15"/>
        </w:tc>
      </w:tr>
    </w:tbl>
    <w:p>
      <w:pPr>
        <w:numPr>
          <w:ilvl w:val="0"/>
          <w:numId w:val="1033"/>
        </w:numPr>
      </w:pPr>
      <w:hyperlink r:id="rId216">
        <w:r>
          <w:rPr>
            <w:rStyle w:val="VerbatimChar"/>
          </w:rPr>
          <w:t xml:space="preserve">predicts</w:t>
        </w:r>
      </w:hyperlink>
      <w:r>
        <w:br/>
      </w:r>
      <w:r>
        <w:rPr>
          <w:iCs/>
          <w:i/>
        </w:rPr>
        <w:t xml:space="preserve">New R library using terra for predicting from fitted model</w:t>
      </w:r>
    </w:p>
    <w:bookmarkEnd w:id="217"/>
    <w:bookmarkStart w:id="219" w:name="python"/>
    <w:p>
      <w:pPr>
        <w:pStyle w:val="Heading2"/>
      </w:pPr>
      <w:r>
        <w:t xml:space="preserve">Python</w:t>
      </w:r>
    </w:p>
    <w:p>
      <w:pPr>
        <w:numPr>
          <w:ilvl w:val="0"/>
          <w:numId w:val="1034"/>
        </w:numPr>
        <w:pStyle w:val="Compact"/>
      </w:pPr>
      <w:hyperlink r:id="rId218">
        <w:r>
          <w:rPr>
            <w:rStyle w:val="Hyperlink"/>
          </w:rPr>
          <w:t xml:space="preserve">Xarray</w:t>
        </w:r>
      </w:hyperlink>
      <w:r>
        <w:br/>
      </w:r>
      <w:r>
        <w:t xml:space="preserve">Xarray makes working with labelled multi-dimensional arrays in Python simple, efficient, and fun!</w:t>
      </w:r>
    </w:p>
    <w:bookmarkEnd w:id="219"/>
    <w:bookmarkStart w:id="222" w:name="google-earth-engine"/>
    <w:p>
      <w:pPr>
        <w:pStyle w:val="Heading2"/>
      </w:pPr>
      <w:r>
        <w:t xml:space="preserve">Google Earth Engine</w:t>
      </w:r>
    </w:p>
    <w:p>
      <w:pPr>
        <w:numPr>
          <w:ilvl w:val="0"/>
          <w:numId w:val="1035"/>
        </w:numPr>
        <w:pStyle w:val="Compact"/>
      </w:pPr>
      <w:hyperlink r:id="rId220">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21">
        <w:r>
          <w:rPr>
            <w:rStyle w:val="Hyperlink"/>
          </w:rPr>
          <w:t xml:space="preserve">Documentation</w:t>
        </w:r>
      </w:hyperlink>
    </w:p>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4" Target="media/rId194.png" /><Relationship Type="http://schemas.openxmlformats.org/officeDocument/2006/relationships/image" Id="rId182" Target="media/rId182.png" /><Relationship Type="http://schemas.openxmlformats.org/officeDocument/2006/relationships/image" Id="rId207" Target="media/rId207.png" /><Relationship Type="http://schemas.openxmlformats.org/officeDocument/2006/relationships/image" Id="rId201" Target="media/rId201.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8" Target="media/rId188.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8"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6"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8"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60" Target="https://doi.org/10.1016/j.ecolmodel.2005.03.026" TargetMode="External" /><Relationship Type="http://schemas.openxmlformats.org/officeDocument/2006/relationships/hyperlink" Id="rId164"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48" Target="https://doi.org/10.1016/j.tree.2023.09.017" TargetMode="External" /><Relationship Type="http://schemas.openxmlformats.org/officeDocument/2006/relationships/hyperlink" Id="rId170"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6" Target="https://doi.org/10.1038/srep22615" TargetMode="External" /><Relationship Type="http://schemas.openxmlformats.org/officeDocument/2006/relationships/hyperlink" Id="rId158" Target="https://doi.org/10.1111/ecog.03049" TargetMode="External" /><Relationship Type="http://schemas.openxmlformats.org/officeDocument/2006/relationships/hyperlink" Id="rId174" Target="https://doi.org/10.1111/ecog.04960" TargetMode="External" /><Relationship Type="http://schemas.openxmlformats.org/officeDocument/2006/relationships/hyperlink" Id="rId152" Target="https://doi.org/10.1111/ecog.06547" TargetMode="External" /><Relationship Type="http://schemas.openxmlformats.org/officeDocument/2006/relationships/hyperlink" Id="rId162"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50" Target="https://doi.org/10.3354/meps316285" TargetMode="External" /><Relationship Type="http://schemas.openxmlformats.org/officeDocument/2006/relationships/hyperlink" Id="rId156"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20"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3" Target="https://github.com/marinebon/aquamapsduckdb/tree/main/inst/app" TargetMode="External" /><Relationship Type="http://schemas.openxmlformats.org/officeDocument/2006/relationships/hyperlink" Id="rId206" Target="https://github.com/marinebon/sdm-explore/blob/main/explore_obis.qmd" TargetMode="External" /><Relationship Type="http://schemas.openxmlformats.org/officeDocument/2006/relationships/hyperlink" Id="rId200"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221"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5" Target="https://marinebon.github.io/sdm-explore/explore_obis.html" TargetMode="External" /><Relationship Type="http://schemas.openxmlformats.org/officeDocument/2006/relationships/hyperlink" Id="rId199" Target="https://marinebon.github.io/sdm-explore/sdm_1.html" TargetMode="External" /><Relationship Type="http://schemas.openxmlformats.org/officeDocument/2006/relationships/hyperlink" Id="rId197"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80" Target="https://shiny.marinebon.app/am-fine/" TargetMode="External" /><Relationship Type="http://schemas.openxmlformats.org/officeDocument/2006/relationships/hyperlink" Id="rId192"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4"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8"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6"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8"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60" Target="https://doi.org/10.1016/j.ecolmodel.2005.03.026" TargetMode="External" /><Relationship Type="http://schemas.openxmlformats.org/officeDocument/2006/relationships/hyperlink" Id="rId164"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48" Target="https://doi.org/10.1016/j.tree.2023.09.017" TargetMode="External" /><Relationship Type="http://schemas.openxmlformats.org/officeDocument/2006/relationships/hyperlink" Id="rId170"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6" Target="https://doi.org/10.1038/srep22615" TargetMode="External" /><Relationship Type="http://schemas.openxmlformats.org/officeDocument/2006/relationships/hyperlink" Id="rId158" Target="https://doi.org/10.1111/ecog.03049" TargetMode="External" /><Relationship Type="http://schemas.openxmlformats.org/officeDocument/2006/relationships/hyperlink" Id="rId174" Target="https://doi.org/10.1111/ecog.04960" TargetMode="External" /><Relationship Type="http://schemas.openxmlformats.org/officeDocument/2006/relationships/hyperlink" Id="rId152" Target="https://doi.org/10.1111/ecog.06547" TargetMode="External" /><Relationship Type="http://schemas.openxmlformats.org/officeDocument/2006/relationships/hyperlink" Id="rId162"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50" Target="https://doi.org/10.3354/meps316285" TargetMode="External" /><Relationship Type="http://schemas.openxmlformats.org/officeDocument/2006/relationships/hyperlink" Id="rId156"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20"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3" Target="https://github.com/marinebon/aquamapsduckdb/tree/main/inst/app" TargetMode="External" /><Relationship Type="http://schemas.openxmlformats.org/officeDocument/2006/relationships/hyperlink" Id="rId206" Target="https://github.com/marinebon/sdm-explore/blob/main/explore_obis.qmd" TargetMode="External" /><Relationship Type="http://schemas.openxmlformats.org/officeDocument/2006/relationships/hyperlink" Id="rId200"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221"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5" Target="https://marinebon.github.io/sdm-explore/explore_obis.html" TargetMode="External" /><Relationship Type="http://schemas.openxmlformats.org/officeDocument/2006/relationships/hyperlink" Id="rId199" Target="https://marinebon.github.io/sdm-explore/sdm_1.html" TargetMode="External" /><Relationship Type="http://schemas.openxmlformats.org/officeDocument/2006/relationships/hyperlink" Id="rId197"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80" Target="https://shiny.marinebon.app/am-fine/" TargetMode="External" /><Relationship Type="http://schemas.openxmlformats.org/officeDocument/2006/relationships/hyperlink" Id="rId192"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4"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2024-02-23T18:29:52Z</dcterms:created>
  <dcterms:modified xsi:type="dcterms:W3CDTF">2024-02-23T18:29:52Z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2024-02-23</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emplate-partials">
    <vt:lpwstr/>
  </property>
  <property fmtid="{D5CDD505-2E9C-101B-9397-08002B2CF9AE}" pid="20" name="toc-title">
    <vt:lpwstr>Table of contents</vt:lpwstr>
  </property>
</Properties>
</file>