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84mwanj7e3gv" w:id="0"/>
      <w:bookmarkEnd w:id="0"/>
      <w:r w:rsidDel="00000000" w:rsidR="00000000" w:rsidRPr="00000000">
        <w:rPr>
          <w:rtl w:val="0"/>
        </w:rPr>
        <w:t xml:space="preserve">Assembling a List of Monitored Marine Species in the Northeast Pacific to Inform DNA Reference Barcoding Efforts</w:t>
      </w:r>
    </w:p>
    <w:p w:rsidR="00000000" w:rsidDel="00000000" w:rsidP="00000000" w:rsidRDefault="00000000" w:rsidRPr="00000000" w14:paraId="00000002">
      <w:pPr>
        <w:rPr>
          <w:sz w:val="24"/>
          <w:szCs w:val="24"/>
        </w:rPr>
      </w:pPr>
      <w:r w:rsidDel="00000000" w:rsidR="00000000" w:rsidRPr="00000000">
        <w:rPr>
          <w:rtl w:val="0"/>
        </w:rPr>
      </w:r>
    </w:p>
    <w:p w:rsidR="00000000" w:rsidDel="00000000" w:rsidP="00000000" w:rsidRDefault="00000000" w:rsidRPr="00000000" w14:paraId="00000003">
      <w:pPr>
        <w:rPr>
          <w:sz w:val="24"/>
          <w:szCs w:val="24"/>
        </w:rPr>
      </w:pPr>
      <w:r w:rsidDel="00000000" w:rsidR="00000000" w:rsidRPr="00000000">
        <w:rPr>
          <w:sz w:val="24"/>
          <w:szCs w:val="24"/>
          <w:rtl w:val="0"/>
        </w:rPr>
        <w:t xml:space="preserve">What needs to be done</w:t>
      </w:r>
    </w:p>
    <w:p w:rsidR="00000000" w:rsidDel="00000000" w:rsidP="00000000" w:rsidRDefault="00000000" w:rsidRPr="00000000" w14:paraId="00000004">
      <w:pPr>
        <w:numPr>
          <w:ilvl w:val="0"/>
          <w:numId w:val="1"/>
        </w:numPr>
        <w:ind w:left="720" w:hanging="360"/>
        <w:rPr>
          <w:sz w:val="24"/>
          <w:szCs w:val="24"/>
          <w:u w:val="none"/>
        </w:rPr>
      </w:pPr>
      <w:r w:rsidDel="00000000" w:rsidR="00000000" w:rsidRPr="00000000">
        <w:rPr>
          <w:sz w:val="24"/>
          <w:szCs w:val="24"/>
          <w:rtl w:val="0"/>
        </w:rPr>
        <w:t xml:space="preserve">Buttoning up of analyses</w:t>
      </w:r>
    </w:p>
    <w:p w:rsidR="00000000" w:rsidDel="00000000" w:rsidP="00000000" w:rsidRDefault="00000000" w:rsidRPr="00000000" w14:paraId="00000005">
      <w:pPr>
        <w:numPr>
          <w:ilvl w:val="1"/>
          <w:numId w:val="1"/>
        </w:numPr>
        <w:ind w:left="1440" w:hanging="360"/>
        <w:rPr>
          <w:sz w:val="24"/>
          <w:szCs w:val="24"/>
          <w:u w:val="none"/>
        </w:rPr>
      </w:pPr>
      <w:r w:rsidDel="00000000" w:rsidR="00000000" w:rsidRPr="00000000">
        <w:rPr>
          <w:sz w:val="24"/>
          <w:szCs w:val="24"/>
          <w:rtl w:val="0"/>
        </w:rPr>
        <w:t xml:space="preserve">Manual curation</w:t>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Journal ideas</w:t>
      </w:r>
    </w:p>
    <w:p w:rsidR="00000000" w:rsidDel="00000000" w:rsidP="00000000" w:rsidRDefault="00000000" w:rsidRPr="00000000" w14:paraId="00000007">
      <w:pPr>
        <w:numPr>
          <w:ilvl w:val="1"/>
          <w:numId w:val="1"/>
        </w:numPr>
        <w:ind w:left="1440" w:hanging="360"/>
        <w:rPr>
          <w:sz w:val="24"/>
          <w:szCs w:val="24"/>
          <w:u w:val="none"/>
        </w:rPr>
      </w:pPr>
      <w:r w:rsidDel="00000000" w:rsidR="00000000" w:rsidRPr="00000000">
        <w:rPr>
          <w:sz w:val="24"/>
          <w:szCs w:val="24"/>
          <w:rtl w:val="0"/>
        </w:rPr>
        <w:t xml:space="preserve">Molecular Ecology</w:t>
      </w:r>
    </w:p>
    <w:p w:rsidR="00000000" w:rsidDel="00000000" w:rsidP="00000000" w:rsidRDefault="00000000" w:rsidRPr="00000000" w14:paraId="00000008">
      <w:pPr>
        <w:numPr>
          <w:ilvl w:val="1"/>
          <w:numId w:val="1"/>
        </w:numPr>
        <w:ind w:left="1440" w:hanging="360"/>
        <w:rPr>
          <w:sz w:val="24"/>
          <w:szCs w:val="24"/>
          <w:u w:val="none"/>
        </w:rPr>
      </w:pPr>
      <w:r w:rsidDel="00000000" w:rsidR="00000000" w:rsidRPr="00000000">
        <w:rPr>
          <w:sz w:val="24"/>
          <w:szCs w:val="24"/>
          <w:rtl w:val="0"/>
        </w:rPr>
        <w:t xml:space="preserve">Methods in Ecology and Evolution</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Sections</w:t>
      </w:r>
    </w:p>
    <w:p w:rsidR="00000000" w:rsidDel="00000000" w:rsidP="00000000" w:rsidRDefault="00000000" w:rsidRPr="00000000" w14:paraId="0000000A">
      <w:pPr>
        <w:numPr>
          <w:ilvl w:val="1"/>
          <w:numId w:val="1"/>
        </w:numPr>
        <w:ind w:left="1440" w:hanging="360"/>
        <w:rPr>
          <w:sz w:val="24"/>
          <w:szCs w:val="24"/>
          <w:u w:val="none"/>
        </w:rPr>
      </w:pPr>
      <w:r w:rsidDel="00000000" w:rsidR="00000000" w:rsidRPr="00000000">
        <w:rPr>
          <w:sz w:val="24"/>
          <w:szCs w:val="24"/>
          <w:rtl w:val="0"/>
        </w:rPr>
        <w:t xml:space="preserve">Figure 0. W</w:t>
      </w:r>
      <w:r w:rsidDel="00000000" w:rsidR="00000000" w:rsidRPr="00000000">
        <w:rPr>
          <w:sz w:val="24"/>
          <w:szCs w:val="24"/>
          <w:rtl w:val="0"/>
        </w:rPr>
        <w:t xml:space="preserve">or</w:t>
      </w:r>
      <w:commentRangeStart w:id="0"/>
      <w:r w:rsidDel="00000000" w:rsidR="00000000" w:rsidRPr="00000000">
        <w:rPr>
          <w:sz w:val="24"/>
          <w:szCs w:val="24"/>
          <w:rtl w:val="0"/>
        </w:rPr>
        <w:t xml:space="preserve">kflow Diagram</w:t>
      </w:r>
      <w:commentRangeEnd w:id="0"/>
      <w:r w:rsidDel="00000000" w:rsidR="00000000" w:rsidRPr="00000000">
        <w:commentReference w:id="0"/>
      </w:r>
      <w:r w:rsidDel="00000000" w:rsidR="00000000" w:rsidRPr="00000000">
        <w:rPr>
          <w:sz w:val="24"/>
          <w:szCs w:val="24"/>
          <w:rtl w:val="0"/>
        </w:rPr>
        <w:t xml:space="preserve"> </w:t>
      </w:r>
      <w:r w:rsidDel="00000000" w:rsidR="00000000" w:rsidRPr="00000000">
        <w:rPr>
          <w:sz w:val="24"/>
          <w:szCs w:val="24"/>
        </w:rPr>
        <w:drawing>
          <wp:inline distB="114300" distT="114300" distL="114300" distR="114300">
            <wp:extent cx="5943600" cy="3759200"/>
            <wp:effectExtent b="0" l="0" r="0" t="0"/>
            <wp:docPr id="5" name="image3.jpg"/>
            <a:graphic>
              <a:graphicData uri="http://schemas.openxmlformats.org/drawingml/2006/picture">
                <pic:pic>
                  <pic:nvPicPr>
                    <pic:cNvPr id="0" name="image3.jpg"/>
                    <pic:cNvPicPr preferRelativeResize="0"/>
                  </pic:nvPicPr>
                  <pic:blipFill>
                    <a:blip r:embed="rId7"/>
                    <a:srcRect b="0" l="0" r="0" t="0"/>
                    <a:stretch>
                      <a:fillRect/>
                    </a:stretch>
                  </pic:blipFill>
                  <pic:spPr>
                    <a:xfrm>
                      <a:off x="0" y="0"/>
                      <a:ext cx="5943600" cy="3759200"/>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numPr>
          <w:ilvl w:val="1"/>
          <w:numId w:val="1"/>
        </w:numPr>
        <w:ind w:left="1440" w:hanging="360"/>
        <w:rPr>
          <w:sz w:val="24"/>
          <w:szCs w:val="24"/>
          <w:u w:val="none"/>
        </w:rPr>
      </w:pPr>
      <w:r w:rsidDel="00000000" w:rsidR="00000000" w:rsidRPr="00000000">
        <w:rPr>
          <w:sz w:val="24"/>
          <w:szCs w:val="24"/>
          <w:rtl w:val="0"/>
        </w:rPr>
        <w:t xml:space="preserve">All of NEP</w:t>
      </w:r>
    </w:p>
    <w:p w:rsidR="00000000" w:rsidDel="00000000" w:rsidP="00000000" w:rsidRDefault="00000000" w:rsidRPr="00000000" w14:paraId="0000000C">
      <w:pPr>
        <w:numPr>
          <w:ilvl w:val="2"/>
          <w:numId w:val="1"/>
        </w:numPr>
        <w:ind w:left="2160" w:hanging="360"/>
        <w:rPr>
          <w:sz w:val="24"/>
          <w:szCs w:val="24"/>
          <w:u w:val="none"/>
        </w:rPr>
      </w:pPr>
      <w:r w:rsidDel="00000000" w:rsidR="00000000" w:rsidRPr="00000000">
        <w:rPr>
          <w:sz w:val="24"/>
          <w:szCs w:val="24"/>
          <w:rtl w:val="0"/>
        </w:rPr>
        <w:t xml:space="preserve">Figure 1. Query fate: Sankey Diagram</w:t>
      </w:r>
    </w:p>
    <w:p w:rsidR="00000000" w:rsidDel="00000000" w:rsidP="00000000" w:rsidRDefault="00000000" w:rsidRPr="00000000" w14:paraId="0000000D">
      <w:pPr>
        <w:numPr>
          <w:ilvl w:val="2"/>
          <w:numId w:val="1"/>
        </w:numPr>
        <w:ind w:left="2160" w:hanging="360"/>
        <w:rPr>
          <w:sz w:val="24"/>
          <w:szCs w:val="24"/>
          <w:u w:val="none"/>
        </w:rPr>
      </w:pPr>
      <w:r w:rsidDel="00000000" w:rsidR="00000000" w:rsidRPr="00000000">
        <w:rPr>
          <w:sz w:val="24"/>
          <w:szCs w:val="24"/>
        </w:rPr>
        <w:drawing>
          <wp:inline distB="19050" distT="19050" distL="19050" distR="19050">
            <wp:extent cx="5943600" cy="3492500"/>
            <wp:effectExtent b="0" l="0" r="0" t="0"/>
            <wp:docPr id="1"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943600" cy="3492500"/>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numPr>
          <w:ilvl w:val="2"/>
          <w:numId w:val="1"/>
        </w:numPr>
        <w:ind w:left="2160" w:hanging="360"/>
        <w:rPr>
          <w:sz w:val="24"/>
          <w:szCs w:val="24"/>
          <w:u w:val="none"/>
        </w:rPr>
      </w:pPr>
      <w:r w:rsidDel="00000000" w:rsidR="00000000" w:rsidRPr="00000000">
        <w:rPr>
          <w:sz w:val="24"/>
          <w:szCs w:val="24"/>
          <w:rtl w:val="0"/>
        </w:rPr>
        <w:t xml:space="preserve">Figure 2abc. Marker coverage: rCRUX CO1/12S</w:t>
      </w:r>
    </w:p>
    <w:p w:rsidR="00000000" w:rsidDel="00000000" w:rsidP="00000000" w:rsidRDefault="00000000" w:rsidRPr="00000000" w14:paraId="0000000F">
      <w:pPr>
        <w:numPr>
          <w:ilvl w:val="2"/>
          <w:numId w:val="1"/>
        </w:numPr>
        <w:ind w:left="2160" w:hanging="360"/>
        <w:rPr>
          <w:sz w:val="24"/>
          <w:szCs w:val="24"/>
          <w:u w:val="none"/>
        </w:rPr>
      </w:pPr>
      <w:r w:rsidDel="00000000" w:rsidR="00000000" w:rsidRPr="00000000">
        <w:rPr>
          <w:sz w:val="24"/>
          <w:szCs w:val="24"/>
          <w:rtl w:val="0"/>
        </w:rPr>
        <w:t xml:space="preserve">Figure 2c. Mitogenome coverage/SRA</w:t>
      </w:r>
    </w:p>
    <w:p w:rsidR="00000000" w:rsidDel="00000000" w:rsidP="00000000" w:rsidRDefault="00000000" w:rsidRPr="00000000" w14:paraId="00000010">
      <w:pPr>
        <w:numPr>
          <w:ilvl w:val="2"/>
          <w:numId w:val="1"/>
        </w:numPr>
        <w:ind w:left="2160" w:hanging="360"/>
        <w:rPr>
          <w:sz w:val="24"/>
          <w:szCs w:val="24"/>
        </w:rPr>
      </w:pPr>
      <w:commentRangeStart w:id="1"/>
      <w:r w:rsidDel="00000000" w:rsidR="00000000" w:rsidRPr="00000000">
        <w:rPr>
          <w:sz w:val="24"/>
          <w:szCs w:val="24"/>
        </w:rPr>
        <w:drawing>
          <wp:inline distB="114300" distT="114300" distL="114300" distR="114300">
            <wp:extent cx="5943600" cy="5943600"/>
            <wp:effectExtent b="0" l="0" r="0" t="0"/>
            <wp:docPr id="3"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943600" cy="5943600"/>
                    </a:xfrm>
                    <a:prstGeom prst="rect"/>
                    <a:ln/>
                  </pic:spPr>
                </pic:pic>
              </a:graphicData>
            </a:graphic>
          </wp:inline>
        </w:drawing>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11">
      <w:pPr>
        <w:numPr>
          <w:ilvl w:val="2"/>
          <w:numId w:val="1"/>
        </w:numPr>
        <w:ind w:left="2160" w:hanging="360"/>
        <w:rPr>
          <w:sz w:val="24"/>
          <w:szCs w:val="24"/>
          <w:u w:val="none"/>
        </w:rPr>
      </w:pPr>
      <w:r w:rsidDel="00000000" w:rsidR="00000000" w:rsidRPr="00000000">
        <w:rPr>
          <w:sz w:val="24"/>
          <w:szCs w:val="24"/>
          <w:rtl w:val="0"/>
        </w:rPr>
        <w:t xml:space="preserve">Sup</w:t>
      </w:r>
      <w:commentRangeStart w:id="2"/>
      <w:r w:rsidDel="00000000" w:rsidR="00000000" w:rsidRPr="00000000">
        <w:rPr>
          <w:sz w:val="24"/>
          <w:szCs w:val="24"/>
          <w:rtl w:val="0"/>
        </w:rPr>
        <w:t xml:space="preserve">p Table By survey:</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12">
      <w:pPr>
        <w:numPr>
          <w:ilvl w:val="3"/>
          <w:numId w:val="1"/>
        </w:numPr>
        <w:ind w:left="2880" w:hanging="360"/>
        <w:rPr>
          <w:sz w:val="24"/>
          <w:szCs w:val="24"/>
          <w:u w:val="none"/>
        </w:rPr>
      </w:pPr>
      <w:commentRangeStart w:id="3"/>
      <w:r w:rsidDel="00000000" w:rsidR="00000000" w:rsidRPr="00000000">
        <w:rPr>
          <w:sz w:val="24"/>
          <w:szCs w:val="24"/>
          <w:rtl w:val="0"/>
        </w:rPr>
        <w:t xml:space="preserve">Number species in NCBI</w:t>
      </w:r>
    </w:p>
    <w:p w:rsidR="00000000" w:rsidDel="00000000" w:rsidP="00000000" w:rsidRDefault="00000000" w:rsidRPr="00000000" w14:paraId="00000013">
      <w:pPr>
        <w:numPr>
          <w:ilvl w:val="3"/>
          <w:numId w:val="1"/>
        </w:numPr>
        <w:ind w:left="2880" w:hanging="360"/>
        <w:rPr>
          <w:sz w:val="24"/>
          <w:szCs w:val="24"/>
          <w:u w:val="none"/>
        </w:rPr>
      </w:pPr>
      <w:r w:rsidDel="00000000" w:rsidR="00000000" w:rsidRPr="00000000">
        <w:rPr>
          <w:sz w:val="24"/>
          <w:szCs w:val="24"/>
          <w:rtl w:val="0"/>
        </w:rPr>
        <w:t xml:space="preserve">Number species with Reference (CO1/MiFish)</w:t>
      </w:r>
    </w:p>
    <w:p w:rsidR="00000000" w:rsidDel="00000000" w:rsidP="00000000" w:rsidRDefault="00000000" w:rsidRPr="00000000" w14:paraId="00000014">
      <w:pPr>
        <w:numPr>
          <w:ilvl w:val="3"/>
          <w:numId w:val="1"/>
        </w:numPr>
        <w:ind w:left="2880" w:hanging="360"/>
        <w:rPr>
          <w:sz w:val="24"/>
          <w:szCs w:val="24"/>
          <w:u w:val="none"/>
        </w:rPr>
      </w:pPr>
      <w:r w:rsidDel="00000000" w:rsidR="00000000" w:rsidRPr="00000000">
        <w:rPr>
          <w:sz w:val="24"/>
          <w:szCs w:val="24"/>
          <w:rtl w:val="0"/>
        </w:rPr>
        <w:t xml:space="preserve">Pull out information for text</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15">
      <w:pPr>
        <w:numPr>
          <w:ilvl w:val="2"/>
          <w:numId w:val="1"/>
        </w:numPr>
        <w:ind w:left="2160" w:hanging="360"/>
        <w:rPr>
          <w:sz w:val="24"/>
          <w:szCs w:val="24"/>
          <w:u w:val="none"/>
        </w:rPr>
      </w:pPr>
      <w:r w:rsidDel="00000000" w:rsidR="00000000" w:rsidRPr="00000000">
        <w:rPr>
          <w:sz w:val="24"/>
          <w:szCs w:val="24"/>
          <w:rtl w:val="0"/>
        </w:rPr>
        <w:t xml:space="preserve">Supplemental data file</w:t>
      </w:r>
    </w:p>
    <w:p w:rsidR="00000000" w:rsidDel="00000000" w:rsidP="00000000" w:rsidRDefault="00000000" w:rsidRPr="00000000" w14:paraId="00000016">
      <w:pPr>
        <w:numPr>
          <w:ilvl w:val="1"/>
          <w:numId w:val="1"/>
        </w:numPr>
        <w:ind w:left="1440" w:hanging="360"/>
        <w:rPr>
          <w:sz w:val="24"/>
          <w:szCs w:val="24"/>
          <w:u w:val="none"/>
        </w:rPr>
      </w:pPr>
      <w:r w:rsidDel="00000000" w:rsidR="00000000" w:rsidRPr="00000000">
        <w:rPr>
          <w:sz w:val="24"/>
          <w:szCs w:val="24"/>
          <w:rtl w:val="0"/>
        </w:rPr>
        <w:t xml:space="preserve">Case study: </w:t>
      </w:r>
      <w:commentRangeStart w:id="4"/>
      <w:r w:rsidDel="00000000" w:rsidR="00000000" w:rsidRPr="00000000">
        <w:rPr>
          <w:sz w:val="24"/>
          <w:szCs w:val="24"/>
          <w:rtl w:val="0"/>
        </w:rPr>
        <w:t xml:space="preserve">Genus lookup</w:t>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017">
      <w:pPr>
        <w:numPr>
          <w:ilvl w:val="2"/>
          <w:numId w:val="1"/>
        </w:numPr>
        <w:ind w:left="2160" w:hanging="360"/>
        <w:rPr>
          <w:sz w:val="24"/>
          <w:szCs w:val="24"/>
          <w:u w:val="none"/>
        </w:rPr>
      </w:pPr>
      <w:r w:rsidDel="00000000" w:rsidR="00000000" w:rsidRPr="00000000">
        <w:rPr>
          <w:sz w:val="24"/>
          <w:szCs w:val="24"/>
          <w:rtl w:val="0"/>
        </w:rPr>
        <w:t xml:space="preserve">Unique list of genera from NEP req</w:t>
      </w:r>
    </w:p>
    <w:p w:rsidR="00000000" w:rsidDel="00000000" w:rsidP="00000000" w:rsidRDefault="00000000" w:rsidRPr="00000000" w14:paraId="00000018">
      <w:pPr>
        <w:numPr>
          <w:ilvl w:val="2"/>
          <w:numId w:val="1"/>
        </w:numPr>
        <w:ind w:left="2160" w:hanging="360"/>
        <w:rPr>
          <w:sz w:val="24"/>
          <w:szCs w:val="24"/>
          <w:u w:val="none"/>
        </w:rPr>
      </w:pPr>
      <w:r w:rsidDel="00000000" w:rsidR="00000000" w:rsidRPr="00000000">
        <w:rPr>
          <w:sz w:val="24"/>
          <w:szCs w:val="24"/>
          <w:rtl w:val="0"/>
        </w:rPr>
        <w:t xml:space="preserve">Resolution and confidence scores for genera</w:t>
      </w:r>
    </w:p>
    <w:p w:rsidR="00000000" w:rsidDel="00000000" w:rsidP="00000000" w:rsidRDefault="00000000" w:rsidRPr="00000000" w14:paraId="00000019">
      <w:pPr>
        <w:numPr>
          <w:ilvl w:val="2"/>
          <w:numId w:val="1"/>
        </w:numPr>
        <w:ind w:left="2160" w:hanging="360"/>
        <w:rPr>
          <w:sz w:val="24"/>
          <w:szCs w:val="24"/>
          <w:u w:val="none"/>
        </w:rPr>
      </w:pPr>
      <w:r w:rsidDel="00000000" w:rsidR="00000000" w:rsidRPr="00000000">
        <w:rPr>
          <w:sz w:val="24"/>
          <w:szCs w:val="24"/>
          <w:rtl w:val="0"/>
        </w:rPr>
        <w:t xml:space="preserve">Table/Figure 3. (box plot of % confidence split by taxa level of interest)</w:t>
      </w:r>
    </w:p>
    <w:p w:rsidR="00000000" w:rsidDel="00000000" w:rsidP="00000000" w:rsidRDefault="00000000" w:rsidRPr="00000000" w14:paraId="0000001A">
      <w:pPr>
        <w:numPr>
          <w:ilvl w:val="1"/>
          <w:numId w:val="1"/>
        </w:numPr>
        <w:ind w:left="1440" w:hanging="360"/>
        <w:rPr>
          <w:sz w:val="24"/>
          <w:szCs w:val="24"/>
          <w:shd w:fill="fff2cc" w:val="clear"/>
        </w:rPr>
      </w:pPr>
      <w:r w:rsidDel="00000000" w:rsidR="00000000" w:rsidRPr="00000000">
        <w:rPr>
          <w:sz w:val="24"/>
          <w:szCs w:val="24"/>
          <w:shd w:fill="fff2cc" w:val="clear"/>
          <w:rtl w:val="0"/>
        </w:rPr>
        <w:t xml:space="preserve">Case study: Cha</w:t>
      </w:r>
      <w:commentRangeStart w:id="5"/>
      <w:r w:rsidDel="00000000" w:rsidR="00000000" w:rsidRPr="00000000">
        <w:rPr>
          <w:sz w:val="24"/>
          <w:szCs w:val="24"/>
          <w:shd w:fill="fff2cc" w:val="clear"/>
          <w:rtl w:val="0"/>
        </w:rPr>
        <w:t xml:space="preserve">nges over time</w:t>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01B">
      <w:pPr>
        <w:numPr>
          <w:ilvl w:val="2"/>
          <w:numId w:val="1"/>
        </w:numPr>
        <w:ind w:left="2160" w:hanging="360"/>
        <w:rPr>
          <w:sz w:val="24"/>
          <w:szCs w:val="24"/>
          <w:shd w:fill="fce5cd" w:val="clear"/>
        </w:rPr>
      </w:pPr>
      <w:r w:rsidDel="00000000" w:rsidR="00000000" w:rsidRPr="00000000">
        <w:rPr>
          <w:sz w:val="24"/>
          <w:szCs w:val="24"/>
          <w:shd w:fill="fce5cd" w:val="clear"/>
          <w:rtl w:val="0"/>
        </w:rPr>
        <w:t xml:space="preserve">Inclusion of taxIDs in NCBI (drop off of accessions associated with taxID)</w:t>
      </w:r>
    </w:p>
    <w:p w:rsidR="00000000" w:rsidDel="00000000" w:rsidP="00000000" w:rsidRDefault="00000000" w:rsidRPr="00000000" w14:paraId="0000001C">
      <w:pPr>
        <w:numPr>
          <w:ilvl w:val="2"/>
          <w:numId w:val="1"/>
        </w:numPr>
        <w:ind w:left="2160" w:hanging="360"/>
        <w:rPr>
          <w:sz w:val="24"/>
          <w:szCs w:val="24"/>
          <w:u w:val="none"/>
        </w:rPr>
      </w:pPr>
      <w:r w:rsidDel="00000000" w:rsidR="00000000" w:rsidRPr="00000000">
        <w:rPr>
          <w:sz w:val="24"/>
          <w:szCs w:val="24"/>
          <w:rtl w:val="0"/>
        </w:rPr>
        <w:t xml:space="preserve">Figure 4. </w:t>
      </w:r>
      <w:r w:rsidDel="00000000" w:rsidR="00000000" w:rsidRPr="00000000">
        <w:rPr>
          <w:sz w:val="24"/>
          <w:szCs w:val="24"/>
          <w:rtl w:val="0"/>
        </w:rPr>
        <w:t xml:space="preserve">rCRUX accession metadata</w:t>
      </w:r>
    </w:p>
    <w:p w:rsidR="00000000" w:rsidDel="00000000" w:rsidP="00000000" w:rsidRDefault="00000000" w:rsidRPr="00000000" w14:paraId="0000001D">
      <w:pPr>
        <w:numPr>
          <w:ilvl w:val="3"/>
          <w:numId w:val="1"/>
        </w:numPr>
        <w:ind w:left="2880" w:hanging="360"/>
        <w:rPr>
          <w:sz w:val="24"/>
          <w:szCs w:val="24"/>
          <w:u w:val="none"/>
        </w:rPr>
      </w:pPr>
      <w:r w:rsidDel="00000000" w:rsidR="00000000" w:rsidRPr="00000000">
        <w:rPr>
          <w:sz w:val="24"/>
          <w:szCs w:val="24"/>
          <w:rtl w:val="0"/>
        </w:rPr>
        <w:t xml:space="preserve">Plot the presence/absence of records in current database</w:t>
      </w:r>
    </w:p>
    <w:p w:rsidR="00000000" w:rsidDel="00000000" w:rsidP="00000000" w:rsidRDefault="00000000" w:rsidRPr="00000000" w14:paraId="0000001E">
      <w:pPr>
        <w:numPr>
          <w:ilvl w:val="3"/>
          <w:numId w:val="1"/>
        </w:numPr>
        <w:ind w:left="2880" w:hanging="360"/>
        <w:rPr>
          <w:sz w:val="24"/>
          <w:szCs w:val="24"/>
          <w:u w:val="none"/>
        </w:rPr>
      </w:pPr>
      <w:r w:rsidDel="00000000" w:rsidR="00000000" w:rsidRPr="00000000">
        <w:rPr>
          <w:sz w:val="24"/>
          <w:szCs w:val="24"/>
          <w:rtl w:val="0"/>
        </w:rPr>
        <w:t xml:space="preserve">CO1 and MiFish</w:t>
      </w:r>
    </w:p>
    <w:p w:rsidR="00000000" w:rsidDel="00000000" w:rsidP="00000000" w:rsidRDefault="00000000" w:rsidRPr="00000000" w14:paraId="0000001F">
      <w:pPr>
        <w:numPr>
          <w:ilvl w:val="2"/>
          <w:numId w:val="1"/>
        </w:numPr>
        <w:ind w:left="2160" w:hanging="360"/>
        <w:rPr>
          <w:sz w:val="24"/>
          <w:szCs w:val="24"/>
          <w:u w:val="none"/>
        </w:rPr>
      </w:pPr>
      <w:r w:rsidDel="00000000" w:rsidR="00000000" w:rsidRPr="00000000">
        <w:rPr>
          <w:sz w:val="24"/>
          <w:szCs w:val="24"/>
          <w:rtl w:val="0"/>
        </w:rPr>
        <w:t xml:space="preserve">Figure 5. Mitogenome increase off over time</w:t>
      </w:r>
    </w:p>
    <w:p w:rsidR="00000000" w:rsidDel="00000000" w:rsidP="00000000" w:rsidRDefault="00000000" w:rsidRPr="00000000" w14:paraId="00000020">
      <w:pPr>
        <w:numPr>
          <w:ilvl w:val="1"/>
          <w:numId w:val="1"/>
        </w:numPr>
        <w:ind w:left="1440" w:hanging="360"/>
        <w:rPr>
          <w:sz w:val="24"/>
          <w:szCs w:val="24"/>
          <w:u w:val="none"/>
        </w:rPr>
      </w:pPr>
      <w:r w:rsidDel="00000000" w:rsidR="00000000" w:rsidRPr="00000000">
        <w:rPr>
          <w:sz w:val="24"/>
          <w:szCs w:val="24"/>
          <w:rtl w:val="0"/>
        </w:rPr>
        <w:t xml:space="preserve">Case study: </w:t>
      </w:r>
      <w:commentRangeStart w:id="6"/>
      <w:r w:rsidDel="00000000" w:rsidR="00000000" w:rsidRPr="00000000">
        <w:rPr>
          <w:sz w:val="24"/>
          <w:szCs w:val="24"/>
          <w:rtl w:val="0"/>
        </w:rPr>
        <w:t xml:space="preserve">Fishes</w:t>
      </w:r>
      <w:commentRangeEnd w:id="6"/>
      <w:r w:rsidDel="00000000" w:rsidR="00000000" w:rsidRPr="00000000">
        <w:commentReference w:id="6"/>
      </w:r>
      <w:r w:rsidDel="00000000" w:rsidR="00000000" w:rsidRPr="00000000">
        <w:rPr>
          <w:sz w:val="24"/>
          <w:szCs w:val="24"/>
          <w:rtl w:val="0"/>
        </w:rPr>
        <w:t xml:space="preserve"> vs. rCRUX:</w:t>
      </w:r>
    </w:p>
    <w:p w:rsidR="00000000" w:rsidDel="00000000" w:rsidP="00000000" w:rsidRDefault="00000000" w:rsidRPr="00000000" w14:paraId="00000021">
      <w:pPr>
        <w:numPr>
          <w:ilvl w:val="2"/>
          <w:numId w:val="1"/>
        </w:numPr>
        <w:ind w:left="2160" w:hanging="360"/>
        <w:rPr>
          <w:sz w:val="24"/>
          <w:szCs w:val="24"/>
          <w:u w:val="none"/>
        </w:rPr>
      </w:pPr>
      <w:r w:rsidDel="00000000" w:rsidR="00000000" w:rsidRPr="00000000">
        <w:rPr>
          <w:sz w:val="24"/>
          <w:szCs w:val="24"/>
          <w:rtl w:val="0"/>
        </w:rPr>
        <w:t xml:space="preserve">Figure 6. Resolution of fishes</w:t>
      </w:r>
    </w:p>
    <w:p w:rsidR="00000000" w:rsidDel="00000000" w:rsidP="00000000" w:rsidRDefault="00000000" w:rsidRPr="00000000" w14:paraId="00000022">
      <w:pPr>
        <w:numPr>
          <w:ilvl w:val="2"/>
          <w:numId w:val="1"/>
        </w:numPr>
        <w:ind w:left="2160" w:hanging="360"/>
        <w:rPr>
          <w:sz w:val="24"/>
          <w:szCs w:val="24"/>
          <w:u w:val="none"/>
        </w:rPr>
      </w:pPr>
      <w:r w:rsidDel="00000000" w:rsidR="00000000" w:rsidRPr="00000000">
        <w:rPr>
          <w:sz w:val="24"/>
          <w:szCs w:val="24"/>
          <w:rtl w:val="0"/>
        </w:rPr>
        <w:t xml:space="preserve">Confirm plotting is real</w:t>
      </w:r>
    </w:p>
    <w:p w:rsidR="00000000" w:rsidDel="00000000" w:rsidP="00000000" w:rsidRDefault="00000000" w:rsidRPr="00000000" w14:paraId="00000023">
      <w:pPr>
        <w:numPr>
          <w:ilvl w:val="2"/>
          <w:numId w:val="1"/>
        </w:numPr>
        <w:ind w:left="2160" w:hanging="360"/>
        <w:rPr>
          <w:sz w:val="24"/>
          <w:szCs w:val="24"/>
          <w:u w:val="none"/>
        </w:rPr>
      </w:pPr>
      <w:r w:rsidDel="00000000" w:rsidR="00000000" w:rsidRPr="00000000">
        <w:rPr>
          <w:sz w:val="24"/>
          <w:szCs w:val="24"/>
          <w:rtl w:val="0"/>
        </w:rPr>
        <w:t xml:space="preserve">Add in a rockfish specific example for the species resolution</w:t>
      </w:r>
    </w:p>
    <w:p w:rsidR="00000000" w:rsidDel="00000000" w:rsidP="00000000" w:rsidRDefault="00000000" w:rsidRPr="00000000" w14:paraId="00000024">
      <w:pPr>
        <w:numPr>
          <w:ilvl w:val="2"/>
          <w:numId w:val="1"/>
        </w:numPr>
        <w:ind w:left="2160" w:hanging="360"/>
        <w:rPr>
          <w:sz w:val="24"/>
          <w:szCs w:val="24"/>
        </w:rPr>
      </w:pPr>
      <w:r w:rsidDel="00000000" w:rsidR="00000000" w:rsidRPr="00000000">
        <w:rPr>
          <w:sz w:val="24"/>
          <w:szCs w:val="24"/>
          <w:rtl w:val="0"/>
        </w:rPr>
        <w:t xml:space="preserve">Monitored (DAP) vs. encountered fishes from surveys</w:t>
      </w:r>
      <w:commentRangeStart w:id="7"/>
      <w:r w:rsidDel="00000000" w:rsidR="00000000" w:rsidRPr="00000000">
        <w:rPr>
          <w:sz w:val="24"/>
          <w:szCs w:val="24"/>
        </w:rPr>
        <w:drawing>
          <wp:inline distB="114300" distT="114300" distL="114300" distR="114300">
            <wp:extent cx="5943600" cy="2971800"/>
            <wp:effectExtent b="0" l="0" r="0" t="0"/>
            <wp:docPr id="2"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943600" cy="2971800"/>
                    </a:xfrm>
                    <a:prstGeom prst="rect"/>
                    <a:ln/>
                  </pic:spPr>
                </pic:pic>
              </a:graphicData>
            </a:graphic>
          </wp:inline>
        </w:drawing>
      </w:r>
      <w:commentRangeEnd w:id="7"/>
      <w:r w:rsidDel="00000000" w:rsidR="00000000" w:rsidRPr="00000000">
        <w:commentReference w:id="7"/>
      </w:r>
      <w:r w:rsidDel="00000000" w:rsidR="00000000" w:rsidRPr="00000000">
        <w:rPr>
          <w:rtl w:val="0"/>
        </w:rPr>
      </w:r>
    </w:p>
    <w:p w:rsidR="00000000" w:rsidDel="00000000" w:rsidP="00000000" w:rsidRDefault="00000000" w:rsidRPr="00000000" w14:paraId="00000025">
      <w:pPr>
        <w:numPr>
          <w:ilvl w:val="2"/>
          <w:numId w:val="1"/>
        </w:numPr>
        <w:ind w:left="2160" w:hanging="360"/>
        <w:rPr>
          <w:sz w:val="24"/>
          <w:szCs w:val="24"/>
          <w:u w:val="none"/>
        </w:rPr>
      </w:pPr>
      <w:r w:rsidDel="00000000" w:rsidR="00000000" w:rsidRPr="00000000">
        <w:rPr>
          <w:sz w:val="24"/>
          <w:szCs w:val="24"/>
          <w:rtl w:val="0"/>
        </w:rPr>
        <w:t xml:space="preserve">Figure 6. Comparison of resolution for Chordates for commonly used vertebrate markers for A) All NEP Chordates, B) Chordates Monitored by the Channel Islands National Park Service, and C) Rockfishes (Genus Sebastes). </w:t>
      </w:r>
    </w:p>
    <w:p w:rsidR="00000000" w:rsidDel="00000000" w:rsidP="00000000" w:rsidRDefault="00000000" w:rsidRPr="00000000" w14:paraId="00000026">
      <w:pPr>
        <w:numPr>
          <w:ilvl w:val="1"/>
          <w:numId w:val="1"/>
        </w:numPr>
        <w:ind w:left="1440" w:hanging="360"/>
        <w:rPr>
          <w:sz w:val="24"/>
          <w:szCs w:val="24"/>
          <w:u w:val="none"/>
        </w:rPr>
      </w:pPr>
      <w:r w:rsidDel="00000000" w:rsidR="00000000" w:rsidRPr="00000000">
        <w:rPr>
          <w:sz w:val="24"/>
          <w:szCs w:val="24"/>
          <w:rtl w:val="0"/>
        </w:rPr>
        <w:t xml:space="preserve">Case st</w:t>
      </w:r>
      <w:commentRangeStart w:id="8"/>
      <w:commentRangeStart w:id="9"/>
      <w:r w:rsidDel="00000000" w:rsidR="00000000" w:rsidRPr="00000000">
        <w:rPr>
          <w:sz w:val="24"/>
          <w:szCs w:val="24"/>
          <w:rtl w:val="0"/>
        </w:rPr>
        <w:t xml:space="preserve">udy: Mitogenome example - Prioritization effort</w:t>
      </w:r>
    </w:p>
    <w:p w:rsidR="00000000" w:rsidDel="00000000" w:rsidP="00000000" w:rsidRDefault="00000000" w:rsidRPr="00000000" w14:paraId="00000027">
      <w:pPr>
        <w:numPr>
          <w:ilvl w:val="2"/>
          <w:numId w:val="1"/>
        </w:numPr>
        <w:ind w:left="2160" w:hanging="360"/>
        <w:rPr>
          <w:sz w:val="24"/>
          <w:szCs w:val="24"/>
          <w:u w:val="none"/>
        </w:rPr>
      </w:pPr>
      <w:r w:rsidDel="00000000" w:rsidR="00000000" w:rsidRPr="00000000">
        <w:rPr>
          <w:sz w:val="24"/>
          <w:szCs w:val="24"/>
          <w:rtl w:val="0"/>
        </w:rPr>
        <w:t xml:space="preserve">En</w:t>
      </w:r>
      <w:r w:rsidDel="00000000" w:rsidR="00000000" w:rsidRPr="00000000">
        <w:rPr>
          <w:sz w:val="24"/>
          <w:szCs w:val="24"/>
          <w:rtl w:val="0"/>
        </w:rPr>
        <w:t xml:space="preserve">dangered Inverts (Haliotis-abalone; Pisaster)</w:t>
      </w:r>
    </w:p>
    <w:p w:rsidR="00000000" w:rsidDel="00000000" w:rsidP="00000000" w:rsidRDefault="00000000" w:rsidRPr="00000000" w14:paraId="00000028">
      <w:pPr>
        <w:numPr>
          <w:ilvl w:val="3"/>
          <w:numId w:val="1"/>
        </w:numPr>
        <w:ind w:left="2880" w:hanging="360"/>
        <w:rPr>
          <w:sz w:val="24"/>
          <w:szCs w:val="24"/>
        </w:rPr>
      </w:pPr>
      <w:commentRangeStart w:id="10"/>
      <w:r w:rsidDel="00000000" w:rsidR="00000000" w:rsidRPr="00000000">
        <w:rPr>
          <w:sz w:val="24"/>
          <w:szCs w:val="24"/>
          <w:rtl w:val="0"/>
        </w:rPr>
        <w:t xml:space="preserve">Haliotis</w:t>
      </w:r>
      <w:commentRangeEnd w:id="10"/>
      <w:r w:rsidDel="00000000" w:rsidR="00000000" w:rsidRPr="00000000">
        <w:commentReference w:id="10"/>
      </w:r>
      <w:r w:rsidDel="00000000" w:rsidR="00000000" w:rsidRPr="00000000">
        <w:rPr>
          <w:sz w:val="24"/>
          <w:szCs w:val="24"/>
          <w:rtl w:val="0"/>
        </w:rPr>
        <w:t xml:space="preserve">: Haliotis cracherodii; Haliotis sorenseni</w:t>
      </w:r>
    </w:p>
    <w:p w:rsidR="00000000" w:rsidDel="00000000" w:rsidP="00000000" w:rsidRDefault="00000000" w:rsidRPr="00000000" w14:paraId="00000029">
      <w:pPr>
        <w:numPr>
          <w:ilvl w:val="3"/>
          <w:numId w:val="1"/>
        </w:numPr>
        <w:ind w:left="2880" w:hanging="360"/>
        <w:rPr>
          <w:sz w:val="24"/>
          <w:szCs w:val="24"/>
        </w:rPr>
      </w:pPr>
      <w:r w:rsidDel="00000000" w:rsidR="00000000" w:rsidRPr="00000000">
        <w:rPr>
          <w:sz w:val="24"/>
          <w:szCs w:val="24"/>
          <w:rtl w:val="0"/>
        </w:rPr>
        <w:t xml:space="preserve">Asteriidae: Pycnopodia helianthoides</w:t>
      </w:r>
      <w:r w:rsidDel="00000000" w:rsidR="00000000" w:rsidRPr="00000000">
        <w:rPr>
          <w:sz w:val="24"/>
          <w:szCs w:val="24"/>
          <w:rtl w:val="0"/>
        </w:rPr>
        <w:t xml:space="preserve"> (proposed threatened species); Use this list: </w:t>
      </w:r>
      <w:hyperlink r:id="rId11">
        <w:r w:rsidDel="00000000" w:rsidR="00000000" w:rsidRPr="00000000">
          <w:rPr>
            <w:color w:val="0000ee"/>
            <w:sz w:val="24"/>
            <w:szCs w:val="24"/>
            <w:u w:val="single"/>
            <w:rtl w:val="0"/>
          </w:rPr>
          <w:t xml:space="preserve">20240322_sea_stars_ne_pacific</w:t>
        </w:r>
      </w:hyperlink>
      <w:commentRangeEnd w:id="8"/>
      <w:r w:rsidDel="00000000" w:rsidR="00000000" w:rsidRPr="00000000">
        <w:commentReference w:id="8"/>
      </w:r>
      <w:commentRangeEnd w:id="9"/>
      <w:r w:rsidDel="00000000" w:rsidR="00000000" w:rsidRPr="00000000">
        <w:commentReference w:id="9"/>
      </w:r>
      <w:r w:rsidDel="00000000" w:rsidR="00000000" w:rsidRPr="00000000">
        <w:rPr>
          <w:rtl w:val="0"/>
        </w:rPr>
      </w:r>
    </w:p>
    <w:p w:rsidR="00000000" w:rsidDel="00000000" w:rsidP="00000000" w:rsidRDefault="00000000" w:rsidRPr="00000000" w14:paraId="0000002A">
      <w:pPr>
        <w:numPr>
          <w:ilvl w:val="2"/>
          <w:numId w:val="1"/>
        </w:numPr>
        <w:ind w:left="2160" w:hanging="360"/>
        <w:rPr>
          <w:sz w:val="24"/>
          <w:szCs w:val="24"/>
          <w:u w:val="none"/>
        </w:rPr>
      </w:pPr>
      <w:r w:rsidDel="00000000" w:rsidR="00000000" w:rsidRPr="00000000">
        <w:rPr>
          <w:sz w:val="24"/>
          <w:szCs w:val="24"/>
          <w:rtl w:val="0"/>
        </w:rPr>
        <w:t xml:space="preserve">Does a mitogenome exist; target and prioritize sequencing efforts to fill gaps</w:t>
      </w:r>
    </w:p>
    <w:p w:rsidR="00000000" w:rsidDel="00000000" w:rsidP="00000000" w:rsidRDefault="00000000" w:rsidRPr="00000000" w14:paraId="0000002B">
      <w:pPr>
        <w:numPr>
          <w:ilvl w:val="2"/>
          <w:numId w:val="1"/>
        </w:numPr>
        <w:ind w:left="2160" w:hanging="360"/>
        <w:rPr>
          <w:sz w:val="24"/>
          <w:szCs w:val="24"/>
          <w:u w:val="none"/>
        </w:rPr>
      </w:pPr>
      <w:r w:rsidDel="00000000" w:rsidR="00000000" w:rsidRPr="00000000">
        <w:rPr>
          <w:sz w:val="24"/>
          <w:szCs w:val="24"/>
          <w:rtl w:val="0"/>
        </w:rPr>
        <w:t xml:space="preserve">Genus lookup for resolution question for coverage</w:t>
      </w:r>
    </w:p>
    <w:p w:rsidR="00000000" w:rsidDel="00000000" w:rsidP="00000000" w:rsidRDefault="00000000" w:rsidRPr="00000000" w14:paraId="0000002C">
      <w:pPr>
        <w:numPr>
          <w:ilvl w:val="2"/>
          <w:numId w:val="1"/>
        </w:numPr>
        <w:ind w:left="2160" w:hanging="360"/>
        <w:rPr>
          <w:sz w:val="24"/>
          <w:szCs w:val="24"/>
          <w:u w:val="none"/>
        </w:rPr>
      </w:pPr>
      <w:r w:rsidDel="00000000" w:rsidR="00000000" w:rsidRPr="00000000">
        <w:rPr>
          <w:sz w:val="24"/>
          <w:szCs w:val="24"/>
          <w:rtl w:val="0"/>
        </w:rPr>
        <w:t xml:space="preserve">Figure 7. COI marker resolution</w:t>
      </w:r>
    </w:p>
    <w:p w:rsidR="00000000" w:rsidDel="00000000" w:rsidP="00000000" w:rsidRDefault="00000000" w:rsidRPr="00000000" w14:paraId="0000002D">
      <w:pPr>
        <w:numPr>
          <w:ilvl w:val="2"/>
          <w:numId w:val="1"/>
        </w:numPr>
        <w:ind w:left="2160" w:hanging="360"/>
        <w:rPr>
          <w:sz w:val="24"/>
          <w:szCs w:val="24"/>
          <w:u w:val="none"/>
        </w:rPr>
      </w:pPr>
      <w:r w:rsidDel="00000000" w:rsidR="00000000" w:rsidRPr="00000000">
        <w:rPr>
          <w:sz w:val="24"/>
          <w:szCs w:val="24"/>
          <w:rtl w:val="0"/>
        </w:rPr>
        <w:t xml:space="preserve">Identify low hanging fruit in SRA that might be able to pull</w:t>
      </w:r>
    </w:p>
    <w:p w:rsidR="00000000" w:rsidDel="00000000" w:rsidP="00000000" w:rsidRDefault="00000000" w:rsidRPr="00000000" w14:paraId="0000002E">
      <w:pPr>
        <w:numPr>
          <w:ilvl w:val="3"/>
          <w:numId w:val="1"/>
        </w:numPr>
        <w:ind w:left="2880" w:hanging="360"/>
        <w:rPr>
          <w:sz w:val="24"/>
          <w:szCs w:val="24"/>
        </w:rPr>
      </w:pPr>
      <w:commentRangeStart w:id="11"/>
      <w:commentRangeStart w:id="12"/>
      <w:r w:rsidDel="00000000" w:rsidR="00000000" w:rsidRPr="00000000">
        <w:rPr>
          <w:sz w:val="24"/>
          <w:szCs w:val="24"/>
          <w:rtl w:val="0"/>
        </w:rPr>
        <w:t xml:space="preserve">Potential to do the mitogenome assembly of species with SRA records</w:t>
      </w:r>
      <w:commentRangeEnd w:id="11"/>
      <w:r w:rsidDel="00000000" w:rsidR="00000000" w:rsidRPr="00000000">
        <w:commentReference w:id="11"/>
      </w:r>
      <w:commentRangeEnd w:id="12"/>
      <w:r w:rsidDel="00000000" w:rsidR="00000000" w:rsidRPr="00000000">
        <w:commentReference w:id="12"/>
      </w:r>
      <w:r w:rsidDel="00000000" w:rsidR="00000000" w:rsidRPr="00000000">
        <w:rPr>
          <w:rtl w:val="0"/>
        </w:rPr>
      </w:r>
    </w:p>
    <w:p w:rsidR="00000000" w:rsidDel="00000000" w:rsidP="00000000" w:rsidRDefault="00000000" w:rsidRPr="00000000" w14:paraId="0000002F">
      <w:pPr>
        <w:numPr>
          <w:ilvl w:val="1"/>
          <w:numId w:val="1"/>
        </w:numPr>
        <w:ind w:left="1440" w:hanging="360"/>
        <w:rPr>
          <w:sz w:val="24"/>
          <w:szCs w:val="24"/>
          <w:u w:val="none"/>
        </w:rPr>
      </w:pPr>
      <w:r w:rsidDel="00000000" w:rsidR="00000000" w:rsidRPr="00000000">
        <w:rPr>
          <w:sz w:val="24"/>
          <w:szCs w:val="24"/>
          <w:rtl w:val="0"/>
        </w:rPr>
        <w:t xml:space="preserve">Conclusion - highlight tool resource</w:t>
      </w:r>
    </w:p>
    <w:p w:rsidR="00000000" w:rsidDel="00000000" w:rsidP="00000000" w:rsidRDefault="00000000" w:rsidRPr="00000000" w14:paraId="00000030">
      <w:pPr>
        <w:numPr>
          <w:ilvl w:val="2"/>
          <w:numId w:val="1"/>
        </w:numPr>
        <w:ind w:left="2160" w:hanging="360"/>
        <w:rPr>
          <w:sz w:val="24"/>
          <w:szCs w:val="24"/>
          <w:u w:val="none"/>
        </w:rPr>
      </w:pPr>
      <w:r w:rsidDel="00000000" w:rsidR="00000000" w:rsidRPr="00000000">
        <w:rPr>
          <w:sz w:val="24"/>
          <w:szCs w:val="24"/>
          <w:rtl w:val="0"/>
        </w:rPr>
        <w:t xml:space="preserve">Will need to create GitHub w/ readme</w:t>
      </w:r>
    </w:p>
    <w:p w:rsidR="00000000" w:rsidDel="00000000" w:rsidP="00000000" w:rsidRDefault="00000000" w:rsidRPr="00000000" w14:paraId="00000031">
      <w:pPr>
        <w:rPr>
          <w:sz w:val="24"/>
          <w:szCs w:val="24"/>
        </w:rPr>
      </w:pPr>
      <w:r w:rsidDel="00000000" w:rsidR="00000000" w:rsidRPr="00000000">
        <w:rPr>
          <w:rtl w:val="0"/>
        </w:rPr>
      </w:r>
    </w:p>
    <w:p w:rsidR="00000000" w:rsidDel="00000000" w:rsidP="00000000" w:rsidRDefault="00000000" w:rsidRPr="00000000" w14:paraId="00000032">
      <w:pPr>
        <w:pStyle w:val="Heading1"/>
        <w:rPr>
          <w:sz w:val="24"/>
          <w:szCs w:val="24"/>
        </w:rPr>
      </w:pPr>
      <w:bookmarkStart w:colFirst="0" w:colLast="0" w:name="_plo0rez5g6g5" w:id="1"/>
      <w:bookmarkEnd w:id="1"/>
      <w:r w:rsidDel="00000000" w:rsidR="00000000" w:rsidRPr="00000000">
        <w:rPr>
          <w:sz w:val="24"/>
          <w:szCs w:val="24"/>
          <w:rtl w:val="0"/>
        </w:rPr>
        <w:t xml:space="preserve">Abstract</w:t>
      </w:r>
    </w:p>
    <w:p w:rsidR="00000000" w:rsidDel="00000000" w:rsidP="00000000" w:rsidRDefault="00000000" w:rsidRPr="00000000" w14:paraId="00000033">
      <w:pPr>
        <w:rPr>
          <w:color w:val="202124"/>
          <w:sz w:val="24"/>
          <w:szCs w:val="24"/>
          <w:highlight w:val="white"/>
        </w:rPr>
      </w:pPr>
      <w:r w:rsidDel="00000000" w:rsidR="00000000" w:rsidRPr="00000000">
        <w:rPr>
          <w:color w:val="202124"/>
          <w:sz w:val="24"/>
          <w:szCs w:val="24"/>
          <w:highlight w:val="white"/>
          <w:rtl w:val="0"/>
        </w:rPr>
        <w:t xml:space="preserve">Environmental DNA (eDNA) is a powerful tool for efficient, accurate and scalable marine biomonitoring. However, the development of accurate and valuable eDNA assays relies on comprehensive reference libraries of DNA sequences. Despite rapidly maturing eDNA technologies, there has been a lack of dedicated investment towards developing reference libraries for important marine taxa, severely limiting our ability to apply the technology for ecological health assessments. Here we conduct a gap analysis of available reference sequences for currently monitored species in the Northeast Pacific and Pacific Arctic ecosystems to provide an accounting of three decades of reference barcoding efforts and a priority list for targeted reference barcoding efforts in the region. We first assembled a list of XX species compiled from </w:t>
      </w:r>
      <w:r w:rsidDel="00000000" w:rsidR="00000000" w:rsidRPr="00000000">
        <w:rPr>
          <w:color w:val="202124"/>
          <w:sz w:val="24"/>
          <w:szCs w:val="24"/>
          <w:highlight w:val="yellow"/>
          <w:rtl w:val="0"/>
        </w:rPr>
        <w:t xml:space="preserve">XX</w:t>
      </w:r>
      <w:r w:rsidDel="00000000" w:rsidR="00000000" w:rsidRPr="00000000">
        <w:rPr>
          <w:color w:val="202124"/>
          <w:sz w:val="24"/>
          <w:szCs w:val="24"/>
          <w:highlight w:val="white"/>
          <w:rtl w:val="0"/>
        </w:rPr>
        <w:t xml:space="preserve"> marine observation programs across the Northeast Pacific and Pacific Arctic spanning federal, state, academic, tribal, and NGO monitoring programs. Species lists were then synthesized and taxonomy was synonymized to both WORMS and NCBI nomenclature. We then cross referenced this species list against rCRUX generated reference databases for a suite of commonly used metabarcoding loci (Leray CO1, Kelly 16S, Machida 18S v8, 18S v4, 18s v9, MiFish 12S, and Baker dLoop) to identify both reference barcode availability and taxonomic resolution of each marker. We further cross referenced the NCBI mitochondrial genome database to quantify whole mitogenome availability. We demonstrate that the vast majority (</w:t>
      </w:r>
      <w:r w:rsidDel="00000000" w:rsidR="00000000" w:rsidRPr="00000000">
        <w:rPr>
          <w:color w:val="202124"/>
          <w:sz w:val="24"/>
          <w:szCs w:val="24"/>
          <w:highlight w:val="yellow"/>
          <w:rtl w:val="0"/>
        </w:rPr>
        <w:t xml:space="preserve">xx</w:t>
      </w:r>
      <w:r w:rsidDel="00000000" w:rsidR="00000000" w:rsidRPr="00000000">
        <w:rPr>
          <w:color w:val="202124"/>
          <w:sz w:val="24"/>
          <w:szCs w:val="24"/>
          <w:highlight w:val="white"/>
          <w:rtl w:val="0"/>
        </w:rPr>
        <w:t xml:space="preserve">%) of monitored [target group e.g. fish, mammal] have sufficient reference sequences while there is a severe paucity of reference sequences and mitochondrial genomes for invertebrate taxa (</w:t>
      </w:r>
      <w:r w:rsidDel="00000000" w:rsidR="00000000" w:rsidRPr="00000000">
        <w:rPr>
          <w:color w:val="202124"/>
          <w:sz w:val="24"/>
          <w:szCs w:val="24"/>
          <w:highlight w:val="yellow"/>
          <w:rtl w:val="0"/>
        </w:rPr>
        <w:t xml:space="preserve">XX</w:t>
      </w:r>
      <w:r w:rsidDel="00000000" w:rsidR="00000000" w:rsidRPr="00000000">
        <w:rPr>
          <w:color w:val="202124"/>
          <w:sz w:val="24"/>
          <w:szCs w:val="24"/>
          <w:highlight w:val="white"/>
          <w:rtl w:val="0"/>
        </w:rPr>
        <w:t xml:space="preserve"> %). We further demonstrate that barcoding efforts have been unequal across the mitochondrial genome with the greatest coverage for </w:t>
      </w:r>
      <w:r w:rsidDel="00000000" w:rsidR="00000000" w:rsidRPr="00000000">
        <w:rPr>
          <w:color w:val="202124"/>
          <w:sz w:val="24"/>
          <w:szCs w:val="24"/>
          <w:highlight w:val="yellow"/>
          <w:rtl w:val="0"/>
        </w:rPr>
        <w:t xml:space="preserve">XX</w:t>
      </w:r>
      <w:r w:rsidDel="00000000" w:rsidR="00000000" w:rsidRPr="00000000">
        <w:rPr>
          <w:color w:val="202124"/>
          <w:sz w:val="24"/>
          <w:szCs w:val="24"/>
          <w:highlight w:val="white"/>
          <w:rtl w:val="0"/>
        </w:rPr>
        <w:t xml:space="preserve"> loci. Importantly, we demonstrate the need for dedicated reference barcode sequencing efforts for these priority taxa with little improvement in coverage and taxonomic accuracy over time for key eDNA metabarcoding markers. Our work provides a road map for priority Northeast Pacific barcoding efforts to allow for accurate and effective ocean biomolecular observation.</w:t>
      </w:r>
    </w:p>
    <w:p w:rsidR="00000000" w:rsidDel="00000000" w:rsidP="00000000" w:rsidRDefault="00000000" w:rsidRPr="00000000" w14:paraId="00000034">
      <w:pPr>
        <w:rPr>
          <w:color w:val="202124"/>
          <w:sz w:val="24"/>
          <w:szCs w:val="24"/>
          <w:highlight w:val="white"/>
        </w:rPr>
      </w:pPr>
      <w:r w:rsidDel="00000000" w:rsidR="00000000" w:rsidRPr="00000000">
        <w:rPr>
          <w:rtl w:val="0"/>
        </w:rPr>
      </w:r>
    </w:p>
    <w:p w:rsidR="00000000" w:rsidDel="00000000" w:rsidP="00000000" w:rsidRDefault="00000000" w:rsidRPr="00000000" w14:paraId="00000035">
      <w:pPr>
        <w:pStyle w:val="Heading1"/>
        <w:rPr>
          <w:sz w:val="24"/>
          <w:szCs w:val="24"/>
        </w:rPr>
      </w:pPr>
      <w:bookmarkStart w:colFirst="0" w:colLast="0" w:name="_ew6chp62t3ck" w:id="2"/>
      <w:bookmarkEnd w:id="2"/>
      <w:r w:rsidDel="00000000" w:rsidR="00000000" w:rsidRPr="00000000">
        <w:rPr>
          <w:sz w:val="24"/>
          <w:szCs w:val="24"/>
          <w:rtl w:val="0"/>
        </w:rPr>
        <w:t xml:space="preserve">Introduction</w:t>
      </w:r>
    </w:p>
    <w:p w:rsidR="00000000" w:rsidDel="00000000" w:rsidP="00000000" w:rsidRDefault="00000000" w:rsidRPr="00000000" w14:paraId="00000036">
      <w:pPr>
        <w:spacing w:after="240" w:before="240" w:lineRule="auto"/>
        <w:rPr>
          <w:sz w:val="24"/>
          <w:szCs w:val="24"/>
        </w:rPr>
      </w:pPr>
      <w:r w:rsidDel="00000000" w:rsidR="00000000" w:rsidRPr="00000000">
        <w:rPr>
          <w:sz w:val="24"/>
          <w:szCs w:val="24"/>
          <w:rtl w:val="0"/>
        </w:rPr>
        <w:t xml:space="preserve">DNA sequencing has transformed marine science and resource management, enabling a range of capabilities from population genetics to environmental DNA. Fundamental to the success of DNA sequencing capabilities is the accurate taxonomic classification of DNA sequences which inherently rely on comprehensive, voucher-based reference barcode databases. This is especially true for eDNA approaches which require a reference sequence database to make accurate inference of the species present or absent in a given ecosystem. Without such data eDNA surveys can fail to detect target species of interest or often worse, incorrectly identify sequences to the closest matching species with a DNA sequence. The consequences of such misidentification are profound, especially for endangered or invasive species, which has frequently been cited as a reason eDNA approaches have not been readily adopted into routine biodiversity monitoring efforts. Thus there is a growing need for the development of such comprehensive and trusted genetic resources to underpin the efficacy and reliability of DNA sequencing capabilities and enable widespread adoption.</w:t>
      </w:r>
    </w:p>
    <w:p w:rsidR="00000000" w:rsidDel="00000000" w:rsidP="00000000" w:rsidRDefault="00000000" w:rsidRPr="00000000" w14:paraId="00000037">
      <w:pPr>
        <w:spacing w:after="240" w:before="240" w:lineRule="auto"/>
        <w:rPr>
          <w:sz w:val="24"/>
          <w:szCs w:val="24"/>
        </w:rPr>
      </w:pPr>
      <w:r w:rsidDel="00000000" w:rsidR="00000000" w:rsidRPr="00000000">
        <w:rPr>
          <w:sz w:val="24"/>
          <w:szCs w:val="24"/>
          <w:rtl w:val="0"/>
        </w:rPr>
        <w:t xml:space="preserve">Previous work has demonstrated that despite three decades of barcoding of life efforts our publicly accessible reference databases (e.g. National Center for Biotechnology Information (NCBI), the Barcode of Life Data System (BOLD), the European Nucleotide Archive (ENA)) remain incomplete (Costa &amp; Carvalho, 2007; Darwin Tree of Life Project Consortium, 2022; Hebert et al., 2003; Stoeckle &amp; Hebert, 2008, Cummins et al., 2022; Ratnasingham &amp; Hebert, 2007; Sayers et al., 2022). Gap analyses of reference database completeness have found wide-ranging results as a function of species group (e.g. fresh water fishes, marine invertebrates) and marker set (</w:t>
      </w:r>
      <w:hyperlink r:id="rId12">
        <w:r w:rsidDel="00000000" w:rsidR="00000000" w:rsidRPr="00000000">
          <w:rPr>
            <w:color w:val="1155cc"/>
            <w:sz w:val="24"/>
            <w:szCs w:val="24"/>
            <w:u w:val="single"/>
            <w:rtl w:val="0"/>
          </w:rPr>
          <w:t xml:space="preserve">Weigand</w:t>
        </w:r>
      </w:hyperlink>
      <w:r w:rsidDel="00000000" w:rsidR="00000000" w:rsidRPr="00000000">
        <w:rPr>
          <w:sz w:val="24"/>
          <w:szCs w:val="24"/>
          <w:rtl w:val="0"/>
        </w:rPr>
        <w:t xml:space="preserve"> et al. 2019, McAllister et al. 2023). Unsurprisingly, charismatic megafauna and species of commercial and economic interest receive the lion's share of sequencing effort. However, because resources to support such foundational genetic infrastructure have been sporadic and inconsistent, even large, fished species lack any genetic data in publicly available reference databases (</w:t>
      </w:r>
      <w:commentRangeStart w:id="13"/>
      <w:r w:rsidDel="00000000" w:rsidR="00000000" w:rsidRPr="00000000">
        <w:rPr>
          <w:sz w:val="24"/>
          <w:szCs w:val="24"/>
          <w:rtl w:val="0"/>
        </w:rPr>
        <w:t xml:space="preserve">e.g. </w:t>
      </w:r>
      <w:r w:rsidDel="00000000" w:rsidR="00000000" w:rsidRPr="00000000">
        <w:rPr>
          <w:i w:val="1"/>
          <w:sz w:val="24"/>
          <w:szCs w:val="24"/>
          <w:rtl w:val="0"/>
        </w:rPr>
        <w:t xml:space="preserve">Metacarcinus anthonyi,</w:t>
      </w:r>
      <w:r w:rsidDel="00000000" w:rsidR="00000000" w:rsidRPr="00000000">
        <w:rPr>
          <w:sz w:val="24"/>
          <w:szCs w:val="24"/>
          <w:rtl w:val="0"/>
        </w:rPr>
        <w:t xml:space="preserve"> Yellow Rock Crab </w:t>
      </w:r>
      <w:commentRangeEnd w:id="13"/>
      <w:r w:rsidDel="00000000" w:rsidR="00000000" w:rsidRPr="00000000">
        <w:commentReference w:id="13"/>
      </w:r>
      <w:r w:rsidDel="00000000" w:rsidR="00000000" w:rsidRPr="00000000">
        <w:rPr>
          <w:sz w:val="24"/>
          <w:szCs w:val="24"/>
          <w:rtl w:val="0"/>
        </w:rPr>
        <w:t xml:space="preserve">). In addition, as DNA technologies and applications change, so has the utilization of specific DNA marker sequences. CO1 remains the most commonly sequenced reference barcode gene for species identification because of its wide utility, conserved nature, and it being selected as the target gene for large scale barcoding of life initiatives (e.g. BIOCODE, Census of Marine Life), but there are hundreds of DNA sequencing capabilities including eDNA metabarcoding approaches that rely on a suite of other marker targets for which our repositories are severely lacking (e.g. MiFish 12S, Machida 18S, Gold et al. 2021, McAllister et al. 2023). </w:t>
      </w:r>
    </w:p>
    <w:p w:rsidR="00000000" w:rsidDel="00000000" w:rsidP="00000000" w:rsidRDefault="00000000" w:rsidRPr="00000000" w14:paraId="00000038">
      <w:pPr>
        <w:spacing w:after="240" w:before="240" w:lineRule="auto"/>
        <w:rPr>
          <w:sz w:val="24"/>
          <w:szCs w:val="24"/>
        </w:rPr>
      </w:pPr>
      <w:r w:rsidDel="00000000" w:rsidR="00000000" w:rsidRPr="00000000">
        <w:rPr>
          <w:sz w:val="24"/>
          <w:szCs w:val="24"/>
          <w:rtl w:val="0"/>
        </w:rPr>
        <w:t xml:space="preserve">Systematic evaluation of the completeness of reference sequences have previously been focussed on specific targeted species lists for a target single gene. These tools and approaches are valuable, but are limited in utility as the complexity of DNA sequencing approaches necessitate the evaluation of a multitude of marker genes and target taxa completeness. This effort parallels the expansion of our reference sequencing efforts towards mitogenome skimming to recover a broader array of barcode genes and develop comprehensive coverage of key taxa of national interest (e.g. Smithsonian Institution National Museum of Natural History goal of generating mitogenomes for all North American fishes). Given these ongoing efforts and exponentially expanding public reference database growth, there is a need to conduct gap analyses and update reference databases on a routine basis.</w:t>
      </w:r>
    </w:p>
    <w:p w:rsidR="00000000" w:rsidDel="00000000" w:rsidP="00000000" w:rsidRDefault="00000000" w:rsidRPr="00000000" w14:paraId="00000039">
      <w:pPr>
        <w:spacing w:after="240" w:before="240" w:lineRule="auto"/>
        <w:rPr>
          <w:sz w:val="24"/>
          <w:szCs w:val="24"/>
        </w:rPr>
      </w:pPr>
      <w:r w:rsidDel="00000000" w:rsidR="00000000" w:rsidRPr="00000000">
        <w:rPr>
          <w:sz w:val="24"/>
          <w:szCs w:val="24"/>
          <w:rtl w:val="0"/>
        </w:rPr>
        <w:t xml:space="preserve">Here we present a workflow for conducting routine gap analyses for any user-provided list of species of interest across both whole mitogenomes and any genetic loci of interest. We evaluate the completeness of reference databases for a list of species that are routinely monitored by ongoing U.S. based marine ecosystem assessment programs in the Northeast Pacific as defined as North of 30°N, including the Pacific Arctic.</w:t>
      </w:r>
    </w:p>
    <w:p w:rsidR="00000000" w:rsidDel="00000000" w:rsidP="00000000" w:rsidRDefault="00000000" w:rsidRPr="00000000" w14:paraId="0000003A">
      <w:pPr>
        <w:spacing w:after="240" w:before="240" w:lineRule="auto"/>
        <w:rPr>
          <w:sz w:val="24"/>
          <w:szCs w:val="24"/>
        </w:rPr>
      </w:pPr>
      <w:r w:rsidDel="00000000" w:rsidR="00000000" w:rsidRPr="00000000">
        <w:rPr>
          <w:sz w:val="24"/>
          <w:szCs w:val="24"/>
          <w:rtl w:val="0"/>
        </w:rPr>
        <w:t xml:space="preserve">The Northeast Pacific region as defined here encompasses a suite of regional and globally importance large marine ecosystems including the California Current, Gulf of Alaska, East Bering Sea, and Chukchi Sea. This region supports the majority of U.S. fisheries by both volume and landings estimated at </w:t>
      </w:r>
      <w:r w:rsidDel="00000000" w:rsidR="00000000" w:rsidRPr="00000000">
        <w:rPr>
          <w:sz w:val="24"/>
          <w:szCs w:val="24"/>
          <w:highlight w:val="yellow"/>
          <w:rtl w:val="0"/>
        </w:rPr>
        <w:t xml:space="preserve">XX</w:t>
      </w:r>
      <w:r w:rsidDel="00000000" w:rsidR="00000000" w:rsidRPr="00000000">
        <w:rPr>
          <w:sz w:val="24"/>
          <w:szCs w:val="24"/>
          <w:rtl w:val="0"/>
        </w:rPr>
        <w:t xml:space="preserve"> and </w:t>
      </w:r>
      <w:r w:rsidDel="00000000" w:rsidR="00000000" w:rsidRPr="00000000">
        <w:rPr>
          <w:sz w:val="24"/>
          <w:szCs w:val="24"/>
          <w:highlight w:val="yellow"/>
          <w:rtl w:val="0"/>
        </w:rPr>
        <w:t xml:space="preserve">XX</w:t>
      </w:r>
      <w:r w:rsidDel="00000000" w:rsidR="00000000" w:rsidRPr="00000000">
        <w:rPr>
          <w:sz w:val="24"/>
          <w:szCs w:val="24"/>
          <w:rtl w:val="0"/>
        </w:rPr>
        <w:t xml:space="preserve"> in 2024. Furthermore, the marine biodiversity of the Northeast Pacific plays a vital role in the cultures and traditional practices of coastal North American tribes and First Nations. This importance of the marine biodiversity of this region is further highlighted by the designation of 6 National Marine Sanctuaries, including the recently enacted Chumash Heritage National Marine Sanctuary as well as 124 MPAs in California, 14 MPAs in Oregon, 127 MPAs in Washington, and 13 MPAs in Alaska. Effective management of marine resources within the Northeast Pacific requires routine monitoring of its marine biodiversity to inventory and map the status and trends of distributions, abundance, and diversity. As DNA sequencing, especially DNA, is increasingly used for routine biomonitoring applications, there is a need to conduct gap analyses of existing genetic resources for species targeted by routine monitoring programs. Here we surveyed a diverse set of 26 marine monitoring programs across the Northeast Pacific to conduct a gap analysis within the region (Table 1). This gap analysis of existing publicly available DNA repositories provides an important target for reference barcoding efforts across the Northeast Pacific Region.</w:t>
      </w:r>
    </w:p>
    <w:p w:rsidR="00000000" w:rsidDel="00000000" w:rsidP="00000000" w:rsidRDefault="00000000" w:rsidRPr="00000000" w14:paraId="0000003B">
      <w:pPr>
        <w:pStyle w:val="Heading1"/>
        <w:rPr>
          <w:sz w:val="24"/>
          <w:szCs w:val="24"/>
        </w:rPr>
      </w:pPr>
      <w:bookmarkStart w:colFirst="0" w:colLast="0" w:name="_b9m3ky2ik7ky" w:id="3"/>
      <w:bookmarkEnd w:id="3"/>
      <w:r w:rsidDel="00000000" w:rsidR="00000000" w:rsidRPr="00000000">
        <w:rPr>
          <w:sz w:val="24"/>
          <w:szCs w:val="24"/>
          <w:rtl w:val="0"/>
        </w:rPr>
        <w:t xml:space="preserve">Methods</w:t>
      </w:r>
    </w:p>
    <w:p w:rsidR="00000000" w:rsidDel="00000000" w:rsidP="00000000" w:rsidRDefault="00000000" w:rsidRPr="00000000" w14:paraId="0000003C">
      <w:pPr>
        <w:rPr>
          <w:sz w:val="24"/>
          <w:szCs w:val="24"/>
        </w:rPr>
      </w:pPr>
      <w:r w:rsidDel="00000000" w:rsidR="00000000" w:rsidRPr="00000000">
        <w:rPr>
          <w:rtl w:val="0"/>
        </w:rPr>
      </w:r>
    </w:p>
    <w:p w:rsidR="00000000" w:rsidDel="00000000" w:rsidP="00000000" w:rsidRDefault="00000000" w:rsidRPr="00000000" w14:paraId="0000003D">
      <w:pPr>
        <w:rPr>
          <w:sz w:val="24"/>
          <w:szCs w:val="24"/>
        </w:rPr>
      </w:pPr>
      <w:r w:rsidDel="00000000" w:rsidR="00000000" w:rsidRPr="00000000">
        <w:rPr>
          <w:sz w:val="24"/>
          <w:szCs w:val="24"/>
          <w:rtl w:val="0"/>
        </w:rPr>
        <w:t xml:space="preserve">We developed a workflow for conducting gap analyses on any provided species list for mitogenomes and any marker of interest (Figure</w:t>
      </w:r>
      <w:commentRangeStart w:id="14"/>
      <w:r w:rsidDel="00000000" w:rsidR="00000000" w:rsidRPr="00000000">
        <w:rPr>
          <w:sz w:val="24"/>
          <w:szCs w:val="24"/>
          <w:rtl w:val="0"/>
        </w:rPr>
        <w:t xml:space="preserve"> 1</w:t>
      </w:r>
      <w:commentRangeEnd w:id="14"/>
      <w:r w:rsidDel="00000000" w:rsidR="00000000" w:rsidRPr="00000000">
        <w:commentReference w:id="14"/>
      </w:r>
      <w:r w:rsidDel="00000000" w:rsidR="00000000" w:rsidRPr="00000000">
        <w:rPr>
          <w:sz w:val="24"/>
          <w:szCs w:val="24"/>
          <w:rtl w:val="0"/>
        </w:rPr>
        <w:t xml:space="preserve">).</w:t>
      </w:r>
    </w:p>
    <w:p w:rsidR="00000000" w:rsidDel="00000000" w:rsidP="00000000" w:rsidRDefault="00000000" w:rsidRPr="00000000" w14:paraId="0000003E">
      <w:pPr>
        <w:rPr>
          <w:sz w:val="24"/>
          <w:szCs w:val="24"/>
        </w:rPr>
      </w:pPr>
      <w:r w:rsidDel="00000000" w:rsidR="00000000" w:rsidRPr="00000000">
        <w:rPr>
          <w:rtl w:val="0"/>
        </w:rPr>
      </w:r>
    </w:p>
    <w:p w:rsidR="00000000" w:rsidDel="00000000" w:rsidP="00000000" w:rsidRDefault="00000000" w:rsidRPr="00000000" w14:paraId="0000003F">
      <w:pPr>
        <w:rPr>
          <w:i w:val="1"/>
          <w:sz w:val="24"/>
          <w:szCs w:val="24"/>
        </w:rPr>
      </w:pPr>
      <w:r w:rsidDel="00000000" w:rsidR="00000000" w:rsidRPr="00000000">
        <w:rPr>
          <w:i w:val="1"/>
          <w:sz w:val="24"/>
          <w:szCs w:val="24"/>
          <w:rtl w:val="0"/>
        </w:rPr>
        <w:t xml:space="preserve">Taxonomic Quality Control</w:t>
      </w:r>
    </w:p>
    <w:p w:rsidR="00000000" w:rsidDel="00000000" w:rsidP="00000000" w:rsidRDefault="00000000" w:rsidRPr="00000000" w14:paraId="00000040">
      <w:pPr>
        <w:rPr>
          <w:sz w:val="24"/>
          <w:szCs w:val="24"/>
        </w:rPr>
      </w:pPr>
      <w:r w:rsidDel="00000000" w:rsidR="00000000" w:rsidRPr="00000000">
        <w:rPr>
          <w:sz w:val="24"/>
          <w:szCs w:val="24"/>
          <w:rtl w:val="0"/>
        </w:rPr>
        <w:t xml:space="preserve">A series of quality control steps were developed to process submitted taxonomic data including removing extraneous white spaces, superfluous text (e.g. sp. And spp.), higher-level taxonomic groups (e.g. Phyla, Family, or Genus nomeclatures), and non-standard characters (e.g. #, -, _, parentheses). Cleaned taxonomic strings were then used to acquire AphiaIDs using the </w:t>
      </w:r>
      <w:r w:rsidDel="00000000" w:rsidR="00000000" w:rsidRPr="00000000">
        <w:rPr>
          <w:i w:val="1"/>
          <w:sz w:val="24"/>
          <w:szCs w:val="24"/>
          <w:rtl w:val="0"/>
        </w:rPr>
        <w:t xml:space="preserve">wm_name2id() </w:t>
      </w:r>
      <w:r w:rsidDel="00000000" w:rsidR="00000000" w:rsidRPr="00000000">
        <w:rPr>
          <w:sz w:val="24"/>
          <w:szCs w:val="24"/>
          <w:rtl w:val="0"/>
        </w:rPr>
        <w:t xml:space="preserve">script from the </w:t>
      </w:r>
      <w:r w:rsidDel="00000000" w:rsidR="00000000" w:rsidRPr="00000000">
        <w:rPr>
          <w:i w:val="1"/>
          <w:sz w:val="24"/>
          <w:szCs w:val="24"/>
          <w:rtl w:val="0"/>
        </w:rPr>
        <w:t xml:space="preserve">worrms</w:t>
      </w:r>
      <w:r w:rsidDel="00000000" w:rsidR="00000000" w:rsidRPr="00000000">
        <w:rPr>
          <w:sz w:val="24"/>
          <w:szCs w:val="24"/>
          <w:rtl w:val="0"/>
        </w:rPr>
        <w:t xml:space="preserve"> R package. Species that failed to return AphiaIDs were manually run through the WORMS Match Taxa portal which enables ambiguous searching unlike the automated function. Species that still failed to obtain AphiaIDs were then processed using the </w:t>
      </w:r>
      <w:r w:rsidDel="00000000" w:rsidR="00000000" w:rsidRPr="00000000">
        <w:rPr>
          <w:i w:val="1"/>
          <w:sz w:val="24"/>
          <w:szCs w:val="24"/>
          <w:rtl w:val="0"/>
        </w:rPr>
        <w:t xml:space="preserve">taxonimzr</w:t>
      </w:r>
      <w:r w:rsidDel="00000000" w:rsidR="00000000" w:rsidRPr="00000000">
        <w:rPr>
          <w:sz w:val="24"/>
          <w:szCs w:val="24"/>
          <w:rtl w:val="0"/>
        </w:rPr>
        <w:t xml:space="preserve"> </w:t>
      </w:r>
      <w:r w:rsidDel="00000000" w:rsidR="00000000" w:rsidRPr="00000000">
        <w:rPr>
          <w:i w:val="1"/>
          <w:sz w:val="24"/>
          <w:szCs w:val="24"/>
          <w:rtl w:val="0"/>
        </w:rPr>
        <w:t xml:space="preserve">getTaxonomy</w:t>
      </w:r>
      <w:r w:rsidDel="00000000" w:rsidR="00000000" w:rsidRPr="00000000">
        <w:rPr>
          <w:sz w:val="24"/>
          <w:szCs w:val="24"/>
          <w:rtl w:val="0"/>
        </w:rPr>
        <w:t xml:space="preserve">() function. Finally, for the remaining species that could not be programmatically processed, we manually curated provided taxonomic nomenclature. These almost exclusively represented typographical or copy/paste errors or recently suggested species classifications that could be resolved from a simple internet search. Here we manually curated all taxonomic nomenclature and excluded recent species divergences that did not yet have Aphia IDs. For all species with Aphia IDs, the </w:t>
      </w:r>
      <w:r w:rsidDel="00000000" w:rsidR="00000000" w:rsidRPr="00000000">
        <w:rPr>
          <w:i w:val="1"/>
          <w:sz w:val="24"/>
          <w:szCs w:val="24"/>
          <w:rtl w:val="0"/>
        </w:rPr>
        <w:t xml:space="preserve">wm_external_() </w:t>
      </w:r>
      <w:r w:rsidDel="00000000" w:rsidR="00000000" w:rsidRPr="00000000">
        <w:rPr>
          <w:sz w:val="24"/>
          <w:szCs w:val="24"/>
          <w:rtl w:val="0"/>
        </w:rPr>
        <w:t xml:space="preserve">function was then used to acquire NCBI IDs to enable cross-referencing of species lists with NCBI GenBank and existing rCRUX reference databases.</w:t>
      </w:r>
    </w:p>
    <w:p w:rsidR="00000000" w:rsidDel="00000000" w:rsidP="00000000" w:rsidRDefault="00000000" w:rsidRPr="00000000" w14:paraId="00000041">
      <w:pPr>
        <w:rPr>
          <w:sz w:val="24"/>
          <w:szCs w:val="24"/>
        </w:rPr>
      </w:pPr>
      <w:r w:rsidDel="00000000" w:rsidR="00000000" w:rsidRPr="00000000">
        <w:rPr>
          <w:rtl w:val="0"/>
        </w:rPr>
      </w:r>
    </w:p>
    <w:p w:rsidR="00000000" w:rsidDel="00000000" w:rsidP="00000000" w:rsidRDefault="00000000" w:rsidRPr="00000000" w14:paraId="00000042">
      <w:pPr>
        <w:rPr>
          <w:i w:val="1"/>
          <w:sz w:val="24"/>
          <w:szCs w:val="24"/>
        </w:rPr>
      </w:pPr>
      <w:r w:rsidDel="00000000" w:rsidR="00000000" w:rsidRPr="00000000">
        <w:rPr>
          <w:i w:val="1"/>
          <w:sz w:val="24"/>
          <w:szCs w:val="24"/>
          <w:rtl w:val="0"/>
        </w:rPr>
        <w:t xml:space="preserve">Gap Analysis</w:t>
      </w:r>
    </w:p>
    <w:p w:rsidR="00000000" w:rsidDel="00000000" w:rsidP="00000000" w:rsidRDefault="00000000" w:rsidRPr="00000000" w14:paraId="00000043">
      <w:pPr>
        <w:ind w:left="0" w:firstLine="0"/>
        <w:rPr>
          <w:sz w:val="24"/>
          <w:szCs w:val="24"/>
        </w:rPr>
      </w:pPr>
      <w:r w:rsidDel="00000000" w:rsidR="00000000" w:rsidRPr="00000000">
        <w:rPr>
          <w:sz w:val="24"/>
          <w:szCs w:val="24"/>
          <w:rtl w:val="0"/>
        </w:rPr>
        <w:t xml:space="preserve">In order to conduct a gap analysis we first queried NCBI Sequence Read Archive for whole genome sequences and GenBank for nucleotide sequences using the NCBI e-utilies. Metadata for mitochondrial genomes (e.g. XX, YY, ZZ) was parsed to identify the occurrence of whole genome sequences as well as mitogenomes (complete circular, complete linear, verified/unverified, a</w:t>
      </w:r>
      <w:commentRangeStart w:id="15"/>
      <w:r w:rsidDel="00000000" w:rsidR="00000000" w:rsidRPr="00000000">
        <w:rPr>
          <w:sz w:val="24"/>
          <w:szCs w:val="24"/>
          <w:rtl w:val="0"/>
        </w:rPr>
        <w:t xml:space="preserve">nd other genome). These results were then parsed into a table recording informative results.</w:t>
      </w:r>
      <w:commentRangeEnd w:id="15"/>
      <w:r w:rsidDel="00000000" w:rsidR="00000000" w:rsidRPr="00000000">
        <w:commentReference w:id="15"/>
      </w:r>
      <w:r w:rsidDel="00000000" w:rsidR="00000000" w:rsidRPr="00000000">
        <w:rPr>
          <w:rtl w:val="0"/>
        </w:rPr>
      </w:r>
    </w:p>
    <w:p w:rsidR="00000000" w:rsidDel="00000000" w:rsidP="00000000" w:rsidRDefault="00000000" w:rsidRPr="00000000" w14:paraId="00000044">
      <w:pPr>
        <w:ind w:left="0" w:firstLine="0"/>
        <w:rPr>
          <w:sz w:val="24"/>
          <w:szCs w:val="24"/>
        </w:rPr>
      </w:pPr>
      <w:r w:rsidDel="00000000" w:rsidR="00000000" w:rsidRPr="00000000">
        <w:rPr>
          <w:sz w:val="24"/>
          <w:szCs w:val="24"/>
          <w:rtl w:val="0"/>
        </w:rPr>
        <w:tab/>
        <w:t xml:space="preserve">To query specific marker genes, we relied on rCRUX which is a simple-to-use tool for the generation of curated, comprehensive reference databases for user-defined loci. Previous work has demonstrated that rCRUX provides highly accurate and comprehensive marker specific reference databases. Here we query the NCBI taxonomies from the user provided species list against a specific rCRUX reference database. To date there are 24 rCRUX reference databases for a suite of commonly used metabarcoding targets. </w:t>
      </w:r>
    </w:p>
    <w:p w:rsidR="00000000" w:rsidDel="00000000" w:rsidP="00000000" w:rsidRDefault="00000000" w:rsidRPr="00000000" w14:paraId="00000045">
      <w:pPr>
        <w:ind w:left="0" w:firstLine="0"/>
        <w:rPr>
          <w:sz w:val="24"/>
          <w:szCs w:val="24"/>
        </w:rPr>
      </w:pPr>
      <w:r w:rsidDel="00000000" w:rsidR="00000000" w:rsidRPr="00000000">
        <w:rPr>
          <w:rtl w:val="0"/>
        </w:rPr>
      </w:r>
    </w:p>
    <w:p w:rsidR="00000000" w:rsidDel="00000000" w:rsidP="00000000" w:rsidRDefault="00000000" w:rsidRPr="00000000" w14:paraId="00000046">
      <w:pPr>
        <w:ind w:left="0" w:firstLine="0"/>
        <w:rPr>
          <w:i w:val="1"/>
          <w:sz w:val="24"/>
          <w:szCs w:val="24"/>
        </w:rPr>
      </w:pPr>
      <w:r w:rsidDel="00000000" w:rsidR="00000000" w:rsidRPr="00000000">
        <w:rPr>
          <w:i w:val="1"/>
          <w:sz w:val="24"/>
          <w:szCs w:val="24"/>
          <w:rtl w:val="0"/>
        </w:rPr>
        <w:t xml:space="preserve">Northeast Pacific Case Study</w:t>
      </w:r>
    </w:p>
    <w:p w:rsidR="00000000" w:rsidDel="00000000" w:rsidP="00000000" w:rsidRDefault="00000000" w:rsidRPr="00000000" w14:paraId="00000047">
      <w:pPr>
        <w:rPr>
          <w:sz w:val="24"/>
          <w:szCs w:val="24"/>
        </w:rPr>
      </w:pPr>
      <w:r w:rsidDel="00000000" w:rsidR="00000000" w:rsidRPr="00000000">
        <w:rPr>
          <w:sz w:val="24"/>
          <w:szCs w:val="24"/>
          <w:rtl w:val="0"/>
        </w:rPr>
        <w:t xml:space="preserve">We surveyed federal, state, regional, academic, and community science-based marine monitoring programs in the Northeast Pacific between January 1, 2024 and July 4th, 2024, receiving detailed responses from 26 marine monitoring programs within the region. Responses were then organized and collated into a single database (Table S2).</w:t>
      </w:r>
    </w:p>
    <w:p w:rsidR="00000000" w:rsidDel="00000000" w:rsidP="00000000" w:rsidRDefault="00000000" w:rsidRPr="00000000" w14:paraId="00000048">
      <w:pPr>
        <w:rPr>
          <w:sz w:val="24"/>
          <w:szCs w:val="24"/>
        </w:rPr>
      </w:pPr>
      <w:r w:rsidDel="00000000" w:rsidR="00000000" w:rsidRPr="00000000">
        <w:rPr>
          <w:rtl w:val="0"/>
        </w:rPr>
      </w:r>
    </w:p>
    <w:p w:rsidR="00000000" w:rsidDel="00000000" w:rsidP="00000000" w:rsidRDefault="00000000" w:rsidRPr="00000000" w14:paraId="00000049">
      <w:pPr>
        <w:rPr>
          <w:sz w:val="24"/>
          <w:szCs w:val="24"/>
        </w:rPr>
      </w:pPr>
      <w:r w:rsidDel="00000000" w:rsidR="00000000" w:rsidRPr="00000000">
        <w:rPr>
          <w:sz w:val="24"/>
          <w:szCs w:val="24"/>
          <w:rtl w:val="0"/>
        </w:rPr>
        <w:t xml:space="preserve">We evaluate the completeness of existing publicly available reference sequence databases for mitochondrial genome and 6 metabarcoding genes of interest: Leray Metazoan CO1 (Leray et al. 2013), Machida Metazoan 18S (Machida et al. 2012), Kelly Metazoan 16S (Kelly et al. 2017), Amaral-Zettler Phytoplankton 18S v9 (Amaral-Zettler et al. 2009), MiFish Teleost 12S (Miya et al. 2015), and Ford vertebrate 16S (Ford et al. 2016). In addition, we track the rate of species deposition into reference databases over time.</w:t>
      </w:r>
    </w:p>
    <w:p w:rsidR="00000000" w:rsidDel="00000000" w:rsidP="00000000" w:rsidRDefault="00000000" w:rsidRPr="00000000" w14:paraId="0000004A">
      <w:pPr>
        <w:rPr>
          <w:sz w:val="24"/>
          <w:szCs w:val="24"/>
        </w:rPr>
      </w:pPr>
      <w:r w:rsidDel="00000000" w:rsidR="00000000" w:rsidRPr="00000000">
        <w:rPr>
          <w:rtl w:val="0"/>
        </w:rPr>
      </w:r>
    </w:p>
    <w:p w:rsidR="00000000" w:rsidDel="00000000" w:rsidP="00000000" w:rsidRDefault="00000000" w:rsidRPr="00000000" w14:paraId="0000004B">
      <w:pPr>
        <w:pStyle w:val="Heading1"/>
        <w:rPr>
          <w:sz w:val="24"/>
          <w:szCs w:val="24"/>
        </w:rPr>
      </w:pPr>
      <w:bookmarkStart w:colFirst="0" w:colLast="0" w:name="_a7q61skpv9nr" w:id="4"/>
      <w:bookmarkEnd w:id="4"/>
      <w:r w:rsidDel="00000000" w:rsidR="00000000" w:rsidRPr="00000000">
        <w:rPr>
          <w:sz w:val="24"/>
          <w:szCs w:val="24"/>
          <w:rtl w:val="0"/>
        </w:rPr>
        <w:t xml:space="preserve">Results</w:t>
      </w:r>
    </w:p>
    <w:p w:rsidR="00000000" w:rsidDel="00000000" w:rsidP="00000000" w:rsidRDefault="00000000" w:rsidRPr="00000000" w14:paraId="0000004C">
      <w:pPr>
        <w:rPr>
          <w:sz w:val="24"/>
          <w:szCs w:val="24"/>
        </w:rPr>
      </w:pPr>
      <w:r w:rsidDel="00000000" w:rsidR="00000000" w:rsidRPr="00000000">
        <w:rPr>
          <w:rtl w:val="0"/>
        </w:rPr>
      </w:r>
    </w:p>
    <w:p w:rsidR="00000000" w:rsidDel="00000000" w:rsidP="00000000" w:rsidRDefault="00000000" w:rsidRPr="00000000" w14:paraId="0000004D">
      <w:pPr>
        <w:rPr>
          <w:sz w:val="24"/>
          <w:szCs w:val="24"/>
        </w:rPr>
      </w:pPr>
      <w:r w:rsidDel="00000000" w:rsidR="00000000" w:rsidRPr="00000000">
        <w:rPr>
          <w:sz w:val="24"/>
          <w:szCs w:val="24"/>
          <w:rtl w:val="0"/>
        </w:rPr>
        <w:t xml:space="preserve">Across all 26 marine monitoring surveys for whom we received responses, we obtained a list of </w:t>
      </w:r>
      <w:commentRangeStart w:id="16"/>
      <w:r w:rsidDel="00000000" w:rsidR="00000000" w:rsidRPr="00000000">
        <w:rPr>
          <w:sz w:val="24"/>
          <w:szCs w:val="24"/>
          <w:rtl w:val="0"/>
        </w:rPr>
        <w:t xml:space="preserve">9,761</w:t>
      </w:r>
      <w:commentRangeEnd w:id="16"/>
      <w:r w:rsidDel="00000000" w:rsidR="00000000" w:rsidRPr="00000000">
        <w:commentReference w:id="16"/>
      </w:r>
      <w:r w:rsidDel="00000000" w:rsidR="00000000" w:rsidRPr="00000000">
        <w:rPr>
          <w:sz w:val="24"/>
          <w:szCs w:val="24"/>
          <w:rtl w:val="0"/>
        </w:rPr>
        <w:t xml:space="preserve"> unique species covering 4 Kingdoms, 34 Phyla, 82 Classes, 330 Orders, 1554 Families, 4,248 Genera, and 9,761 species in the Northeast Pacific.</w:t>
      </w:r>
    </w:p>
    <w:p w:rsidR="00000000" w:rsidDel="00000000" w:rsidP="00000000" w:rsidRDefault="00000000" w:rsidRPr="00000000" w14:paraId="0000004E">
      <w:pPr>
        <w:rPr>
          <w:sz w:val="24"/>
          <w:szCs w:val="24"/>
        </w:rPr>
      </w:pPr>
      <w:r w:rsidDel="00000000" w:rsidR="00000000" w:rsidRPr="00000000">
        <w:rPr>
          <w:rtl w:val="0"/>
        </w:rPr>
      </w:r>
    </w:p>
    <w:p w:rsidR="00000000" w:rsidDel="00000000" w:rsidP="00000000" w:rsidRDefault="00000000" w:rsidRPr="00000000" w14:paraId="0000004F">
      <w:pPr>
        <w:rPr>
          <w:sz w:val="24"/>
          <w:szCs w:val="24"/>
        </w:rPr>
      </w:pPr>
      <w:r w:rsidDel="00000000" w:rsidR="00000000" w:rsidRPr="00000000">
        <w:rPr>
          <w:sz w:val="24"/>
          <w:szCs w:val="24"/>
          <w:rtl w:val="0"/>
        </w:rPr>
        <w:t xml:space="preserve">We found that 44.4% of all species monitored in the Northeast Pacific had no record in NCBI indicating it has never been sequenced (Table 2). This distribution of sequences in NCBI was not even across Phyla (0-100%, average = </w:t>
      </w:r>
      <w:r w:rsidDel="00000000" w:rsidR="00000000" w:rsidRPr="00000000">
        <w:rPr>
          <w:sz w:val="24"/>
          <w:szCs w:val="24"/>
          <w:highlight w:val="yellow"/>
          <w:rtl w:val="0"/>
        </w:rPr>
        <w:t xml:space="preserve">XX</w:t>
      </w:r>
      <w:r w:rsidDel="00000000" w:rsidR="00000000" w:rsidRPr="00000000">
        <w:rPr>
          <w:sz w:val="24"/>
          <w:szCs w:val="24"/>
          <w:rtl w:val="0"/>
        </w:rPr>
        <w:t xml:space="preserve">) with all monitored Hemichordates lacking sequences and all Phoronida species having sequences (Figure 2). The results demonstrate the paucity of reference sequences for Northeast Pacific species, particularly marine invertebrates.</w:t>
      </w:r>
    </w:p>
    <w:p w:rsidR="00000000" w:rsidDel="00000000" w:rsidP="00000000" w:rsidRDefault="00000000" w:rsidRPr="00000000" w14:paraId="00000050">
      <w:pPr>
        <w:widowControl w:val="0"/>
        <w:rPr>
          <w:sz w:val="24"/>
          <w:szCs w:val="24"/>
        </w:rPr>
      </w:pPr>
      <w:r w:rsidDel="00000000" w:rsidR="00000000" w:rsidRPr="00000000">
        <w:rPr>
          <w:rtl w:val="0"/>
        </w:rPr>
      </w:r>
    </w:p>
    <w:tbl>
      <w:tblPr>
        <w:tblStyle w:val="Table1"/>
        <w:tblW w:w="9855.0" w:type="dxa"/>
        <w:jc w:val="left"/>
        <w:tblBorders>
          <w:top w:color="9e9e9e" w:space="0" w:sz="8" w:val="single"/>
          <w:left w:color="9e9e9e" w:space="0" w:sz="8" w:val="single"/>
          <w:bottom w:color="9e9e9e" w:space="0" w:sz="8" w:val="single"/>
          <w:right w:color="9e9e9e" w:space="0" w:sz="8" w:val="single"/>
          <w:insideH w:color="9e9e9e" w:space="0" w:sz="8" w:val="single"/>
          <w:insideV w:color="9e9e9e" w:space="0" w:sz="8" w:val="single"/>
        </w:tblBorders>
        <w:tblLayout w:type="fixed"/>
        <w:tblLook w:val="0600"/>
      </w:tblPr>
      <w:tblGrid>
        <w:gridCol w:w="3600"/>
        <w:gridCol w:w="2655"/>
        <w:gridCol w:w="3600"/>
        <w:tblGridChange w:id="0">
          <w:tblGrid>
            <w:gridCol w:w="3600"/>
            <w:gridCol w:w="2655"/>
            <w:gridCol w:w="3600"/>
          </w:tblGrid>
        </w:tblGridChange>
      </w:tblGrid>
      <w:tr>
        <w:trPr>
          <w:cantSplit w:val="1"/>
          <w:trHeight w:val="599.98046875" w:hRule="atLeast"/>
          <w:tblHeader w:val="0"/>
        </w:trPr>
        <w:tc>
          <w:tcPr>
            <w:tcBorders>
              <w:bottom w:color="9e9e9e" w:space="0" w:sz="8" w:val="single"/>
            </w:tcBorders>
            <w:shd w:fill="f3f3f3" w:val="clear"/>
            <w:tcMar>
              <w:top w:w="0.0" w:type="dxa"/>
              <w:left w:w="0.0" w:type="dxa"/>
              <w:bottom w:w="0.0" w:type="dxa"/>
              <w:right w:w="0.0" w:type="dxa"/>
            </w:tcMar>
            <w:vAlign w:val="center"/>
          </w:tcPr>
          <w:p w:rsidR="00000000" w:rsidDel="00000000" w:rsidP="00000000" w:rsidRDefault="00000000" w:rsidRPr="00000000" w14:paraId="00000051">
            <w:pPr>
              <w:widowControl w:val="0"/>
              <w:spacing w:after="240" w:before="460" w:line="240" w:lineRule="auto"/>
              <w:jc w:val="center"/>
              <w:rPr>
                <w:sz w:val="20"/>
                <w:szCs w:val="20"/>
              </w:rPr>
            </w:pPr>
            <w:r w:rsidDel="00000000" w:rsidR="00000000" w:rsidRPr="00000000">
              <w:rPr>
                <w:b w:val="1"/>
                <w:sz w:val="20"/>
                <w:szCs w:val="20"/>
                <w:rtl w:val="0"/>
              </w:rPr>
              <w:t xml:space="preserve">Metric</w:t>
            </w:r>
            <w:r w:rsidDel="00000000" w:rsidR="00000000" w:rsidRPr="00000000">
              <w:rPr>
                <w:rtl w:val="0"/>
              </w:rPr>
            </w:r>
          </w:p>
        </w:tc>
        <w:tc>
          <w:tcPr>
            <w:tcBorders>
              <w:bottom w:color="9e9e9e" w:space="0" w:sz="8" w:val="single"/>
            </w:tcBorders>
            <w:shd w:fill="f3f3f3" w:val="clear"/>
            <w:tcMar>
              <w:top w:w="0.0" w:type="dxa"/>
              <w:left w:w="0.0" w:type="dxa"/>
              <w:bottom w:w="0.0" w:type="dxa"/>
              <w:right w:w="0.0" w:type="dxa"/>
            </w:tcMar>
            <w:vAlign w:val="center"/>
          </w:tcPr>
          <w:p w:rsidR="00000000" w:rsidDel="00000000" w:rsidP="00000000" w:rsidRDefault="00000000" w:rsidRPr="00000000" w14:paraId="00000052">
            <w:pPr>
              <w:widowControl w:val="0"/>
              <w:spacing w:after="240" w:before="460" w:line="240" w:lineRule="auto"/>
              <w:jc w:val="center"/>
              <w:rPr>
                <w:b w:val="1"/>
                <w:sz w:val="20"/>
                <w:szCs w:val="20"/>
              </w:rPr>
            </w:pPr>
            <w:r w:rsidDel="00000000" w:rsidR="00000000" w:rsidRPr="00000000">
              <w:rPr>
                <w:b w:val="1"/>
                <w:sz w:val="20"/>
                <w:szCs w:val="20"/>
                <w:rtl w:val="0"/>
              </w:rPr>
              <w:t xml:space="preserve">Count</w:t>
            </w:r>
          </w:p>
        </w:tc>
        <w:tc>
          <w:tcPr>
            <w:tcBorders>
              <w:bottom w:color="9e9e9e" w:space="0" w:sz="8" w:val="single"/>
            </w:tcBorders>
            <w:shd w:fill="f3f3f3" w:val="clear"/>
            <w:tcMar>
              <w:top w:w="0.0" w:type="dxa"/>
              <w:left w:w="0.0" w:type="dxa"/>
              <w:bottom w:w="0.0" w:type="dxa"/>
              <w:right w:w="0.0" w:type="dxa"/>
            </w:tcMar>
            <w:vAlign w:val="center"/>
          </w:tcPr>
          <w:p w:rsidR="00000000" w:rsidDel="00000000" w:rsidP="00000000" w:rsidRDefault="00000000" w:rsidRPr="00000000" w14:paraId="00000053">
            <w:pPr>
              <w:widowControl w:val="0"/>
              <w:spacing w:after="240" w:before="460" w:line="240" w:lineRule="auto"/>
              <w:jc w:val="center"/>
              <w:rPr>
                <w:b w:val="1"/>
                <w:sz w:val="20"/>
                <w:szCs w:val="20"/>
              </w:rPr>
            </w:pPr>
            <w:r w:rsidDel="00000000" w:rsidR="00000000" w:rsidRPr="00000000">
              <w:rPr>
                <w:b w:val="1"/>
                <w:sz w:val="20"/>
                <w:szCs w:val="20"/>
                <w:rtl w:val="0"/>
              </w:rPr>
              <w:t xml:space="preserve">Percent</w:t>
            </w:r>
          </w:p>
        </w:tc>
      </w:tr>
      <w:tr>
        <w:trPr>
          <w:cantSplit w:val="0"/>
          <w:trHeight w:val="299.62157587200306" w:hRule="atLeast"/>
          <w:tblHeader w:val="0"/>
        </w:trPr>
        <w:tc>
          <w:tcPr>
            <w:tcBorders>
              <w:top w:color="9e9e9e" w:space="0" w:sz="8" w:val="single"/>
              <w:left w:color="9e9e9e" w:space="0" w:sz="8" w:val="single"/>
              <w:bottom w:color="9e9e9e" w:space="0" w:sz="8" w:val="single"/>
              <w:right w:color="9e9e9e" w:space="0" w:sz="8" w:val="single"/>
            </w:tcBorders>
            <w:shd w:fill="ffffff" w:val="clear"/>
            <w:tcMar>
              <w:top w:w="40.0" w:type="dxa"/>
              <w:left w:w="100.0" w:type="dxa"/>
              <w:bottom w:w="40.0" w:type="dxa"/>
              <w:right w:w="100.0" w:type="dxa"/>
            </w:tcMar>
            <w:vAlign w:val="top"/>
          </w:tcPr>
          <w:p w:rsidR="00000000" w:rsidDel="00000000" w:rsidP="00000000" w:rsidRDefault="00000000" w:rsidRPr="00000000" w14:paraId="00000054">
            <w:pPr>
              <w:widowControl w:val="0"/>
              <w:spacing w:line="348" w:lineRule="auto"/>
              <w:rPr>
                <w:sz w:val="20"/>
                <w:szCs w:val="20"/>
              </w:rPr>
            </w:pPr>
            <w:r w:rsidDel="00000000" w:rsidR="00000000" w:rsidRPr="00000000">
              <w:rPr>
                <w:sz w:val="20"/>
                <w:szCs w:val="20"/>
                <w:rtl w:val="0"/>
              </w:rPr>
              <w:t xml:space="preserve">WORMS &amp; NCBI Tax Matched</w:t>
            </w:r>
          </w:p>
        </w:tc>
        <w:tc>
          <w:tcPr>
            <w:tcBorders>
              <w:top w:color="9e9e9e" w:space="0" w:sz="8" w:val="single"/>
              <w:left w:color="9e9e9e" w:space="0" w:sz="8" w:val="single"/>
              <w:bottom w:color="9e9e9e" w:space="0" w:sz="8" w:val="single"/>
              <w:right w:color="9e9e9e" w:space="0" w:sz="8" w:val="single"/>
            </w:tcBorders>
            <w:shd w:fill="ffffff" w:val="clear"/>
            <w:tcMar>
              <w:top w:w="40.0" w:type="dxa"/>
              <w:left w:w="100.0" w:type="dxa"/>
              <w:bottom w:w="40.0" w:type="dxa"/>
              <w:right w:w="100.0" w:type="dxa"/>
            </w:tcMar>
            <w:vAlign w:val="top"/>
          </w:tcPr>
          <w:p w:rsidR="00000000" w:rsidDel="00000000" w:rsidP="00000000" w:rsidRDefault="00000000" w:rsidRPr="00000000" w14:paraId="00000055">
            <w:pPr>
              <w:widowControl w:val="0"/>
              <w:spacing w:line="348" w:lineRule="auto"/>
              <w:jc w:val="right"/>
              <w:rPr>
                <w:sz w:val="20"/>
                <w:szCs w:val="20"/>
              </w:rPr>
            </w:pPr>
            <w:r w:rsidDel="00000000" w:rsidR="00000000" w:rsidRPr="00000000">
              <w:rPr>
                <w:sz w:val="20"/>
                <w:szCs w:val="20"/>
                <w:rtl w:val="0"/>
              </w:rPr>
              <w:t xml:space="preserve">5,127</w:t>
            </w:r>
          </w:p>
        </w:tc>
        <w:tc>
          <w:tcPr>
            <w:tcBorders>
              <w:top w:color="9e9e9e" w:space="0" w:sz="8" w:val="single"/>
              <w:left w:color="9e9e9e" w:space="0" w:sz="8" w:val="single"/>
              <w:bottom w:color="9e9e9e" w:space="0" w:sz="8" w:val="single"/>
              <w:right w:color="9e9e9e" w:space="0" w:sz="8" w:val="single"/>
            </w:tcBorders>
            <w:shd w:fill="ffffff" w:val="clear"/>
            <w:tcMar>
              <w:top w:w="40.0" w:type="dxa"/>
              <w:left w:w="100.0" w:type="dxa"/>
              <w:bottom w:w="40.0" w:type="dxa"/>
              <w:right w:w="100.0" w:type="dxa"/>
            </w:tcMar>
            <w:vAlign w:val="top"/>
          </w:tcPr>
          <w:p w:rsidR="00000000" w:rsidDel="00000000" w:rsidP="00000000" w:rsidRDefault="00000000" w:rsidRPr="00000000" w14:paraId="00000056">
            <w:pPr>
              <w:widowControl w:val="0"/>
              <w:spacing w:line="348" w:lineRule="auto"/>
              <w:jc w:val="right"/>
              <w:rPr>
                <w:sz w:val="20"/>
                <w:szCs w:val="20"/>
              </w:rPr>
            </w:pPr>
            <w:r w:rsidDel="00000000" w:rsidR="00000000" w:rsidRPr="00000000">
              <w:rPr>
                <w:sz w:val="20"/>
                <w:szCs w:val="20"/>
                <w:rtl w:val="0"/>
              </w:rPr>
              <w:t xml:space="preserve">52.2 %</w:t>
            </w:r>
          </w:p>
        </w:tc>
      </w:tr>
      <w:tr>
        <w:trPr>
          <w:cantSplit w:val="0"/>
          <w:trHeight w:val="326.05877374306215" w:hRule="atLeast"/>
          <w:tblHeader w:val="0"/>
        </w:trPr>
        <w:tc>
          <w:tcPr>
            <w:tcBorders>
              <w:top w:color="9e9e9e" w:space="0" w:sz="8" w:val="single"/>
              <w:left w:color="9e9e9e" w:space="0" w:sz="8" w:val="single"/>
              <w:bottom w:color="9e9e9e" w:space="0" w:sz="8" w:val="single"/>
              <w:right w:color="9e9e9e" w:space="0" w:sz="8" w:val="single"/>
            </w:tcBorders>
            <w:shd w:fill="ffffff" w:val="clear"/>
            <w:tcMar>
              <w:top w:w="40.0" w:type="dxa"/>
              <w:left w:w="100.0" w:type="dxa"/>
              <w:bottom w:w="40.0" w:type="dxa"/>
              <w:right w:w="100.0" w:type="dxa"/>
            </w:tcMar>
            <w:vAlign w:val="top"/>
          </w:tcPr>
          <w:p w:rsidR="00000000" w:rsidDel="00000000" w:rsidP="00000000" w:rsidRDefault="00000000" w:rsidRPr="00000000" w14:paraId="00000057">
            <w:pPr>
              <w:widowControl w:val="0"/>
              <w:spacing w:line="348" w:lineRule="auto"/>
              <w:rPr>
                <w:sz w:val="20"/>
                <w:szCs w:val="20"/>
              </w:rPr>
            </w:pPr>
            <w:r w:rsidDel="00000000" w:rsidR="00000000" w:rsidRPr="00000000">
              <w:rPr>
                <w:sz w:val="20"/>
                <w:szCs w:val="20"/>
                <w:rtl w:val="0"/>
              </w:rPr>
              <w:t xml:space="preserve">Different Taxonomic Name</w:t>
            </w:r>
          </w:p>
        </w:tc>
        <w:tc>
          <w:tcPr>
            <w:tcBorders>
              <w:top w:color="9e9e9e" w:space="0" w:sz="8" w:val="single"/>
              <w:left w:color="9e9e9e" w:space="0" w:sz="8" w:val="single"/>
              <w:bottom w:color="9e9e9e" w:space="0" w:sz="8" w:val="single"/>
              <w:right w:color="9e9e9e" w:space="0" w:sz="8" w:val="single"/>
            </w:tcBorders>
            <w:shd w:fill="ffffff" w:val="clear"/>
            <w:tcMar>
              <w:top w:w="40.0" w:type="dxa"/>
              <w:left w:w="100.0" w:type="dxa"/>
              <w:bottom w:w="40.0" w:type="dxa"/>
              <w:right w:w="100.0" w:type="dxa"/>
            </w:tcMar>
            <w:vAlign w:val="top"/>
          </w:tcPr>
          <w:p w:rsidR="00000000" w:rsidDel="00000000" w:rsidP="00000000" w:rsidRDefault="00000000" w:rsidRPr="00000000" w14:paraId="00000058">
            <w:pPr>
              <w:widowControl w:val="0"/>
              <w:spacing w:line="348" w:lineRule="auto"/>
              <w:jc w:val="right"/>
              <w:rPr>
                <w:sz w:val="20"/>
                <w:szCs w:val="20"/>
              </w:rPr>
            </w:pPr>
            <w:r w:rsidDel="00000000" w:rsidR="00000000" w:rsidRPr="00000000">
              <w:rPr>
                <w:sz w:val="20"/>
                <w:szCs w:val="20"/>
                <w:rtl w:val="0"/>
              </w:rPr>
              <w:t xml:space="preserve">341</w:t>
            </w:r>
          </w:p>
        </w:tc>
        <w:tc>
          <w:tcPr>
            <w:tcBorders>
              <w:top w:color="9e9e9e" w:space="0" w:sz="8" w:val="single"/>
              <w:left w:color="9e9e9e" w:space="0" w:sz="8" w:val="single"/>
              <w:bottom w:color="9e9e9e" w:space="0" w:sz="8" w:val="single"/>
              <w:right w:color="9e9e9e" w:space="0" w:sz="8" w:val="single"/>
            </w:tcBorders>
            <w:shd w:fill="ffffff" w:val="clear"/>
            <w:tcMar>
              <w:top w:w="40.0" w:type="dxa"/>
              <w:left w:w="100.0" w:type="dxa"/>
              <w:bottom w:w="40.0" w:type="dxa"/>
              <w:right w:w="100.0" w:type="dxa"/>
            </w:tcMar>
            <w:vAlign w:val="top"/>
          </w:tcPr>
          <w:p w:rsidR="00000000" w:rsidDel="00000000" w:rsidP="00000000" w:rsidRDefault="00000000" w:rsidRPr="00000000" w14:paraId="00000059">
            <w:pPr>
              <w:widowControl w:val="0"/>
              <w:spacing w:line="348" w:lineRule="auto"/>
              <w:jc w:val="right"/>
              <w:rPr>
                <w:sz w:val="20"/>
                <w:szCs w:val="20"/>
              </w:rPr>
            </w:pPr>
            <w:r w:rsidDel="00000000" w:rsidR="00000000" w:rsidRPr="00000000">
              <w:rPr>
                <w:sz w:val="20"/>
                <w:szCs w:val="20"/>
                <w:rtl w:val="0"/>
              </w:rPr>
              <w:t xml:space="preserve">3.5 %</w:t>
            </w:r>
          </w:p>
        </w:tc>
      </w:tr>
      <w:tr>
        <w:trPr>
          <w:cantSplit w:val="0"/>
          <w:trHeight w:val="308.4339751623561" w:hRule="atLeast"/>
          <w:tblHeader w:val="0"/>
        </w:trPr>
        <w:tc>
          <w:tcPr>
            <w:tcBorders>
              <w:top w:color="9e9e9e" w:space="0" w:sz="8" w:val="single"/>
              <w:left w:color="9e9e9e" w:space="0" w:sz="8" w:val="single"/>
              <w:right w:color="9e9e9e" w:space="0" w:sz="8" w:val="single"/>
            </w:tcBorders>
            <w:shd w:fill="ffffff" w:val="clear"/>
            <w:tcMar>
              <w:top w:w="40.0" w:type="dxa"/>
              <w:left w:w="100.0" w:type="dxa"/>
              <w:bottom w:w="40.0" w:type="dxa"/>
              <w:right w:w="100.0" w:type="dxa"/>
            </w:tcMar>
            <w:vAlign w:val="top"/>
          </w:tcPr>
          <w:p w:rsidR="00000000" w:rsidDel="00000000" w:rsidP="00000000" w:rsidRDefault="00000000" w:rsidRPr="00000000" w14:paraId="0000005A">
            <w:pPr>
              <w:widowControl w:val="0"/>
              <w:spacing w:line="348" w:lineRule="auto"/>
              <w:rPr>
                <w:sz w:val="20"/>
                <w:szCs w:val="20"/>
              </w:rPr>
            </w:pPr>
            <w:r w:rsidDel="00000000" w:rsidR="00000000" w:rsidRPr="00000000">
              <w:rPr>
                <w:sz w:val="20"/>
                <w:szCs w:val="20"/>
                <w:rtl w:val="0"/>
              </w:rPr>
              <w:t xml:space="preserve">Not in NCBI</w:t>
            </w:r>
          </w:p>
        </w:tc>
        <w:tc>
          <w:tcPr>
            <w:tcBorders>
              <w:top w:color="9e9e9e" w:space="0" w:sz="8" w:val="single"/>
              <w:left w:color="9e9e9e" w:space="0" w:sz="8" w:val="single"/>
              <w:right w:color="9e9e9e" w:space="0" w:sz="8" w:val="single"/>
            </w:tcBorders>
            <w:shd w:fill="ffffff" w:val="clear"/>
            <w:tcMar>
              <w:top w:w="40.0" w:type="dxa"/>
              <w:left w:w="100.0" w:type="dxa"/>
              <w:bottom w:w="40.0" w:type="dxa"/>
              <w:right w:w="100.0" w:type="dxa"/>
            </w:tcMar>
            <w:vAlign w:val="top"/>
          </w:tcPr>
          <w:p w:rsidR="00000000" w:rsidDel="00000000" w:rsidP="00000000" w:rsidRDefault="00000000" w:rsidRPr="00000000" w14:paraId="0000005B">
            <w:pPr>
              <w:widowControl w:val="0"/>
              <w:spacing w:line="348" w:lineRule="auto"/>
              <w:jc w:val="right"/>
              <w:rPr>
                <w:sz w:val="20"/>
                <w:szCs w:val="20"/>
              </w:rPr>
            </w:pPr>
            <w:r w:rsidDel="00000000" w:rsidR="00000000" w:rsidRPr="00000000">
              <w:rPr>
                <w:sz w:val="20"/>
                <w:szCs w:val="20"/>
                <w:rtl w:val="0"/>
              </w:rPr>
              <w:t xml:space="preserve">4,362</w:t>
            </w:r>
          </w:p>
        </w:tc>
        <w:tc>
          <w:tcPr>
            <w:tcBorders>
              <w:top w:color="9e9e9e" w:space="0" w:sz="8" w:val="single"/>
              <w:left w:color="9e9e9e" w:space="0" w:sz="8" w:val="single"/>
              <w:right w:color="9e9e9e" w:space="0" w:sz="8" w:val="single"/>
            </w:tcBorders>
            <w:shd w:fill="ffffff" w:val="clear"/>
            <w:tcMar>
              <w:top w:w="40.0" w:type="dxa"/>
              <w:left w:w="100.0" w:type="dxa"/>
              <w:bottom w:w="40.0" w:type="dxa"/>
              <w:right w:w="100.0" w:type="dxa"/>
            </w:tcMar>
            <w:vAlign w:val="top"/>
          </w:tcPr>
          <w:p w:rsidR="00000000" w:rsidDel="00000000" w:rsidP="00000000" w:rsidRDefault="00000000" w:rsidRPr="00000000" w14:paraId="0000005C">
            <w:pPr>
              <w:widowControl w:val="0"/>
              <w:spacing w:line="348" w:lineRule="auto"/>
              <w:jc w:val="right"/>
              <w:rPr>
                <w:sz w:val="20"/>
                <w:szCs w:val="20"/>
              </w:rPr>
            </w:pPr>
            <w:r w:rsidDel="00000000" w:rsidR="00000000" w:rsidRPr="00000000">
              <w:rPr>
                <w:sz w:val="20"/>
                <w:szCs w:val="20"/>
                <w:rtl w:val="0"/>
              </w:rPr>
              <w:t xml:space="preserve">44.4 %</w:t>
            </w:r>
          </w:p>
        </w:tc>
      </w:tr>
    </w:tbl>
    <w:p w:rsidR="00000000" w:rsidDel="00000000" w:rsidP="00000000" w:rsidRDefault="00000000" w:rsidRPr="00000000" w14:paraId="0000005D">
      <w:pPr>
        <w:rPr>
          <w:sz w:val="24"/>
          <w:szCs w:val="24"/>
        </w:rPr>
      </w:pPr>
      <w:r w:rsidDel="00000000" w:rsidR="00000000" w:rsidRPr="00000000">
        <w:rPr>
          <w:rtl w:val="0"/>
        </w:rPr>
      </w:r>
    </w:p>
    <w:p w:rsidR="00000000" w:rsidDel="00000000" w:rsidP="00000000" w:rsidRDefault="00000000" w:rsidRPr="00000000" w14:paraId="0000005E">
      <w:pPr>
        <w:rPr>
          <w:sz w:val="24"/>
          <w:szCs w:val="24"/>
        </w:rPr>
      </w:pPr>
      <w:r w:rsidDel="00000000" w:rsidR="00000000" w:rsidRPr="00000000">
        <w:rPr>
          <w:sz w:val="24"/>
          <w:szCs w:val="24"/>
        </w:rPr>
        <w:drawing>
          <wp:inline distB="114300" distT="114300" distL="114300" distR="114300">
            <wp:extent cx="5943600" cy="2705100"/>
            <wp:effectExtent b="0" l="0" r="0" t="0"/>
            <wp:docPr id="4" name="image2.png"/>
            <a:graphic>
              <a:graphicData uri="http://schemas.openxmlformats.org/drawingml/2006/picture">
                <pic:pic>
                  <pic:nvPicPr>
                    <pic:cNvPr id="0" name="image2.png"/>
                    <pic:cNvPicPr preferRelativeResize="0"/>
                  </pic:nvPicPr>
                  <pic:blipFill>
                    <a:blip r:embed="rId13"/>
                    <a:srcRect b="0" l="0" r="0" t="19088"/>
                    <a:stretch>
                      <a:fillRect/>
                    </a:stretch>
                  </pic:blipFill>
                  <pic:spPr>
                    <a:xfrm>
                      <a:off x="0" y="0"/>
                      <a:ext cx="5943600" cy="2705100"/>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rPr>
          <w:sz w:val="24"/>
          <w:szCs w:val="24"/>
        </w:rPr>
      </w:pPr>
      <w:r w:rsidDel="00000000" w:rsidR="00000000" w:rsidRPr="00000000">
        <w:rPr>
          <w:rtl w:val="0"/>
        </w:rPr>
      </w:r>
    </w:p>
    <w:p w:rsidR="00000000" w:rsidDel="00000000" w:rsidP="00000000" w:rsidRDefault="00000000" w:rsidRPr="00000000" w14:paraId="00000060">
      <w:pPr>
        <w:rPr>
          <w:sz w:val="24"/>
          <w:szCs w:val="24"/>
        </w:rPr>
      </w:pPr>
      <w:r w:rsidDel="00000000" w:rsidR="00000000" w:rsidRPr="00000000">
        <w:rPr>
          <w:sz w:val="24"/>
          <w:szCs w:val="24"/>
          <w:rtl w:val="0"/>
        </w:rPr>
        <w:tab/>
        <w:t xml:space="preserve">Only 16% of all species had any mitochondrial genome in GenBank, highlighting the paucity of comprehensive genetic resources needed for DNA sequencing capabilities (Table 3). Mitogenome coverage was similarly biased by phyla (Figure SXX). </w:t>
      </w:r>
    </w:p>
    <w:tbl>
      <w:tblPr>
        <w:tblStyle w:val="Table2"/>
        <w:tblW w:w="9795.0" w:type="dxa"/>
        <w:jc w:val="left"/>
        <w:tblBorders>
          <w:top w:color="9e9e9e" w:space="0" w:sz="8" w:val="single"/>
          <w:left w:color="9e9e9e" w:space="0" w:sz="8" w:val="single"/>
          <w:bottom w:color="9e9e9e" w:space="0" w:sz="8" w:val="single"/>
          <w:right w:color="9e9e9e" w:space="0" w:sz="8" w:val="single"/>
          <w:insideH w:color="9e9e9e" w:space="0" w:sz="8" w:val="single"/>
          <w:insideV w:color="9e9e9e" w:space="0" w:sz="8" w:val="single"/>
        </w:tblBorders>
        <w:tblLayout w:type="fixed"/>
        <w:tblLook w:val="0600"/>
      </w:tblPr>
      <w:tblGrid>
        <w:gridCol w:w="3060"/>
        <w:gridCol w:w="3450"/>
        <w:gridCol w:w="3285"/>
        <w:tblGridChange w:id="0">
          <w:tblGrid>
            <w:gridCol w:w="3060"/>
            <w:gridCol w:w="3450"/>
            <w:gridCol w:w="3285"/>
          </w:tblGrid>
        </w:tblGridChange>
      </w:tblGrid>
      <w:tr>
        <w:trPr>
          <w:cantSplit w:val="0"/>
          <w:trHeight w:val="431.99999999999994" w:hRule="atLeast"/>
          <w:tblHeader w:val="0"/>
        </w:trPr>
        <w:tc>
          <w:tcPr>
            <w:tcBorders>
              <w:top w:color="9e9e9e" w:space="0" w:sz="8" w:val="single"/>
              <w:left w:color="9e9e9e" w:space="0" w:sz="8" w:val="single"/>
              <w:bottom w:color="9e9e9e" w:space="0" w:sz="8" w:val="single"/>
              <w:right w:color="9e9e9e" w:space="0" w:sz="8" w:val="single"/>
            </w:tcBorders>
            <w:tcMar>
              <w:top w:w="0.0" w:type="dxa"/>
              <w:left w:w="0.0" w:type="dxa"/>
              <w:bottom w:w="0.0" w:type="dxa"/>
              <w:right w:w="0.0" w:type="dxa"/>
            </w:tcMar>
            <w:vAlign w:val="center"/>
          </w:tcPr>
          <w:p w:rsidR="00000000" w:rsidDel="00000000" w:rsidP="00000000" w:rsidRDefault="00000000" w:rsidRPr="00000000" w14:paraId="00000061">
            <w:pPr>
              <w:widowControl w:val="0"/>
              <w:spacing w:after="240" w:before="460" w:line="240" w:lineRule="auto"/>
              <w:jc w:val="center"/>
              <w:rPr>
                <w:sz w:val="20"/>
                <w:szCs w:val="20"/>
              </w:rPr>
            </w:pPr>
            <w:r w:rsidDel="00000000" w:rsidR="00000000" w:rsidRPr="00000000">
              <w:rPr>
                <w:b w:val="1"/>
                <w:sz w:val="20"/>
                <w:szCs w:val="20"/>
                <w:rtl w:val="0"/>
              </w:rPr>
              <w:t xml:space="preserve">Metric</w:t>
            </w:r>
            <w:r w:rsidDel="00000000" w:rsidR="00000000" w:rsidRPr="00000000">
              <w:rPr>
                <w:rtl w:val="0"/>
              </w:rPr>
            </w:r>
          </w:p>
        </w:tc>
        <w:tc>
          <w:tcPr>
            <w:tcBorders>
              <w:top w:color="9e9e9e" w:space="0" w:sz="8" w:val="single"/>
              <w:left w:color="9e9e9e" w:space="0" w:sz="8" w:val="single"/>
              <w:bottom w:color="9e9e9e" w:space="0" w:sz="8" w:val="single"/>
              <w:right w:color="9e9e9e" w:space="0" w:sz="8" w:val="single"/>
            </w:tcBorders>
            <w:tcMar>
              <w:top w:w="0.0" w:type="dxa"/>
              <w:left w:w="0.0" w:type="dxa"/>
              <w:bottom w:w="0.0" w:type="dxa"/>
              <w:right w:w="0.0" w:type="dxa"/>
            </w:tcMar>
            <w:vAlign w:val="center"/>
          </w:tcPr>
          <w:p w:rsidR="00000000" w:rsidDel="00000000" w:rsidP="00000000" w:rsidRDefault="00000000" w:rsidRPr="00000000" w14:paraId="00000062">
            <w:pPr>
              <w:widowControl w:val="0"/>
              <w:spacing w:after="240" w:before="460" w:line="240" w:lineRule="auto"/>
              <w:jc w:val="center"/>
              <w:rPr>
                <w:b w:val="1"/>
                <w:sz w:val="20"/>
                <w:szCs w:val="20"/>
              </w:rPr>
            </w:pPr>
            <w:r w:rsidDel="00000000" w:rsidR="00000000" w:rsidRPr="00000000">
              <w:rPr>
                <w:b w:val="1"/>
                <w:sz w:val="20"/>
                <w:szCs w:val="20"/>
                <w:rtl w:val="0"/>
              </w:rPr>
              <w:t xml:space="preserve">Count </w:t>
            </w:r>
            <w:r w:rsidDel="00000000" w:rsidR="00000000" w:rsidRPr="00000000">
              <w:rPr>
                <w:sz w:val="20"/>
                <w:szCs w:val="20"/>
                <w:rtl w:val="0"/>
              </w:rPr>
              <w:t xml:space="preserve">(verified/unverified)</w:t>
            </w:r>
            <w:r w:rsidDel="00000000" w:rsidR="00000000" w:rsidRPr="00000000">
              <w:rPr>
                <w:rtl w:val="0"/>
              </w:rPr>
            </w:r>
          </w:p>
        </w:tc>
        <w:tc>
          <w:tcPr>
            <w:tcBorders>
              <w:top w:color="9e9e9e" w:space="0" w:sz="8" w:val="single"/>
              <w:left w:color="9e9e9e" w:space="0" w:sz="8" w:val="single"/>
              <w:bottom w:color="9e9e9e" w:space="0" w:sz="8" w:val="single"/>
              <w:right w:color="9e9e9e" w:space="0" w:sz="8" w:val="single"/>
            </w:tcBorders>
            <w:tcMar>
              <w:top w:w="0.0" w:type="dxa"/>
              <w:left w:w="0.0" w:type="dxa"/>
              <w:bottom w:w="0.0" w:type="dxa"/>
              <w:right w:w="0.0" w:type="dxa"/>
            </w:tcMar>
            <w:vAlign w:val="center"/>
          </w:tcPr>
          <w:p w:rsidR="00000000" w:rsidDel="00000000" w:rsidP="00000000" w:rsidRDefault="00000000" w:rsidRPr="00000000" w14:paraId="00000063">
            <w:pPr>
              <w:widowControl w:val="0"/>
              <w:spacing w:after="240" w:before="460" w:line="240" w:lineRule="auto"/>
              <w:jc w:val="center"/>
              <w:rPr>
                <w:b w:val="1"/>
                <w:sz w:val="20"/>
                <w:szCs w:val="20"/>
              </w:rPr>
            </w:pPr>
            <w:r w:rsidDel="00000000" w:rsidR="00000000" w:rsidRPr="00000000">
              <w:rPr>
                <w:b w:val="1"/>
                <w:sz w:val="20"/>
                <w:szCs w:val="20"/>
                <w:rtl w:val="0"/>
              </w:rPr>
              <w:t xml:space="preserve">Percent</w:t>
            </w:r>
          </w:p>
        </w:tc>
      </w:tr>
      <w:tr>
        <w:trPr>
          <w:cantSplit w:val="0"/>
          <w:trHeight w:val="225" w:hRule="atLeast"/>
          <w:tblHeader w:val="0"/>
        </w:trPr>
        <w:tc>
          <w:tcPr>
            <w:tcBorders>
              <w:top w:color="9e9e9e" w:space="0" w:sz="8" w:val="single"/>
            </w:tcBorders>
            <w:tcMar>
              <w:top w:w="-288.0" w:type="dxa"/>
              <w:left w:w="-288.0" w:type="dxa"/>
              <w:bottom w:w="-288.0" w:type="dxa"/>
              <w:right w:w="-288.0" w:type="dxa"/>
            </w:tcMar>
            <w:vAlign w:val="center"/>
          </w:tcPr>
          <w:p w:rsidR="00000000" w:rsidDel="00000000" w:rsidP="00000000" w:rsidRDefault="00000000" w:rsidRPr="00000000" w14:paraId="00000064">
            <w:pPr>
              <w:widowControl w:val="0"/>
              <w:spacing w:line="240" w:lineRule="auto"/>
              <w:jc w:val="center"/>
              <w:rPr>
                <w:sz w:val="20"/>
                <w:szCs w:val="20"/>
              </w:rPr>
            </w:pPr>
            <w:r w:rsidDel="00000000" w:rsidR="00000000" w:rsidRPr="00000000">
              <w:rPr>
                <w:sz w:val="20"/>
                <w:szCs w:val="20"/>
                <w:rtl w:val="0"/>
              </w:rPr>
              <w:t xml:space="preserve">Any Mitogenome</w:t>
            </w:r>
          </w:p>
        </w:tc>
        <w:tc>
          <w:tcPr>
            <w:tcBorders>
              <w:top w:color="9e9e9e" w:space="0" w:sz="8" w:val="single"/>
            </w:tcBorders>
            <w:tcMar>
              <w:top w:w="0.0" w:type="dxa"/>
              <w:left w:w="0.0" w:type="dxa"/>
              <w:bottom w:w="0.0" w:type="dxa"/>
              <w:right w:w="0.0" w:type="dxa"/>
            </w:tcMar>
            <w:vAlign w:val="center"/>
          </w:tcPr>
          <w:p w:rsidR="00000000" w:rsidDel="00000000" w:rsidP="00000000" w:rsidRDefault="00000000" w:rsidRPr="00000000" w14:paraId="00000065">
            <w:pPr>
              <w:widowControl w:val="0"/>
              <w:spacing w:line="240" w:lineRule="auto"/>
              <w:jc w:val="center"/>
              <w:rPr>
                <w:sz w:val="20"/>
                <w:szCs w:val="20"/>
              </w:rPr>
            </w:pPr>
            <w:r w:rsidDel="00000000" w:rsidR="00000000" w:rsidRPr="00000000">
              <w:rPr>
                <w:sz w:val="20"/>
                <w:szCs w:val="20"/>
                <w:rtl w:val="0"/>
              </w:rPr>
              <w:t xml:space="preserve">1213</w:t>
            </w:r>
          </w:p>
        </w:tc>
        <w:tc>
          <w:tcPr>
            <w:tcBorders>
              <w:top w:color="9e9e9e" w:space="0" w:sz="8" w:val="single"/>
            </w:tcBorders>
            <w:tcMar>
              <w:top w:w="0.0" w:type="dxa"/>
              <w:left w:w="0.0" w:type="dxa"/>
              <w:bottom w:w="0.0" w:type="dxa"/>
              <w:right w:w="0.0" w:type="dxa"/>
            </w:tcMar>
            <w:vAlign w:val="center"/>
          </w:tcPr>
          <w:p w:rsidR="00000000" w:rsidDel="00000000" w:rsidP="00000000" w:rsidRDefault="00000000" w:rsidRPr="00000000" w14:paraId="00000066">
            <w:pPr>
              <w:widowControl w:val="0"/>
              <w:spacing w:line="240" w:lineRule="auto"/>
              <w:jc w:val="center"/>
              <w:rPr>
                <w:sz w:val="20"/>
                <w:szCs w:val="20"/>
              </w:rPr>
            </w:pPr>
            <w:r w:rsidDel="00000000" w:rsidR="00000000" w:rsidRPr="00000000">
              <w:rPr>
                <w:sz w:val="20"/>
                <w:szCs w:val="20"/>
                <w:rtl w:val="0"/>
              </w:rPr>
              <w:t xml:space="preserve">12.4% of species // 22.4% of species w/ NCBI records</w:t>
            </w:r>
          </w:p>
        </w:tc>
      </w:tr>
      <w:tr>
        <w:trPr>
          <w:cantSplit w:val="0"/>
          <w:trHeight w:val="874.9609374999999" w:hRule="atLeast"/>
          <w:tblHeader w:val="0"/>
        </w:trPr>
        <w:tc>
          <w:tcPr>
            <w:tcMar>
              <w:top w:w="0.0" w:type="dxa"/>
              <w:left w:w="0.0" w:type="dxa"/>
              <w:bottom w:w="0.0" w:type="dxa"/>
              <w:right w:w="0.0" w:type="dxa"/>
            </w:tcMar>
            <w:vAlign w:val="center"/>
          </w:tcPr>
          <w:p w:rsidR="00000000" w:rsidDel="00000000" w:rsidP="00000000" w:rsidRDefault="00000000" w:rsidRPr="00000000" w14:paraId="00000067">
            <w:pPr>
              <w:widowControl w:val="0"/>
              <w:spacing w:line="240" w:lineRule="auto"/>
              <w:jc w:val="center"/>
              <w:rPr>
                <w:sz w:val="20"/>
                <w:szCs w:val="20"/>
              </w:rPr>
            </w:pPr>
            <w:r w:rsidDel="00000000" w:rsidR="00000000" w:rsidRPr="00000000">
              <w:rPr>
                <w:sz w:val="20"/>
                <w:szCs w:val="20"/>
                <w:rtl w:val="0"/>
              </w:rPr>
              <w:t xml:space="preserve">High confidence mitogenome (complete circular/linear)</w:t>
            </w:r>
          </w:p>
        </w:tc>
        <w:tc>
          <w:tcPr>
            <w:tcMar>
              <w:top w:w="0.0" w:type="dxa"/>
              <w:left w:w="0.0" w:type="dxa"/>
              <w:bottom w:w="0.0" w:type="dxa"/>
              <w:right w:w="0.0" w:type="dxa"/>
            </w:tcMar>
            <w:vAlign w:val="center"/>
          </w:tcPr>
          <w:p w:rsidR="00000000" w:rsidDel="00000000" w:rsidP="00000000" w:rsidRDefault="00000000" w:rsidRPr="00000000" w14:paraId="00000068">
            <w:pPr>
              <w:widowControl w:val="0"/>
              <w:spacing w:after="240" w:before="460" w:line="240" w:lineRule="auto"/>
              <w:jc w:val="center"/>
              <w:rPr>
                <w:sz w:val="20"/>
                <w:szCs w:val="20"/>
              </w:rPr>
            </w:pPr>
            <w:r w:rsidDel="00000000" w:rsidR="00000000" w:rsidRPr="00000000">
              <w:rPr>
                <w:sz w:val="20"/>
                <w:szCs w:val="20"/>
                <w:rtl w:val="0"/>
              </w:rPr>
              <w:t xml:space="preserve">889</w:t>
            </w:r>
          </w:p>
        </w:tc>
        <w:tc>
          <w:tcPr>
            <w:tcMar>
              <w:top w:w="0.0" w:type="dxa"/>
              <w:left w:w="0.0" w:type="dxa"/>
              <w:bottom w:w="0.0" w:type="dxa"/>
              <w:right w:w="0.0" w:type="dxa"/>
            </w:tcMar>
            <w:vAlign w:val="center"/>
          </w:tcPr>
          <w:p w:rsidR="00000000" w:rsidDel="00000000" w:rsidP="00000000" w:rsidRDefault="00000000" w:rsidRPr="00000000" w14:paraId="00000069">
            <w:pPr>
              <w:widowControl w:val="0"/>
              <w:spacing w:after="240" w:before="460" w:line="240" w:lineRule="auto"/>
              <w:jc w:val="center"/>
              <w:rPr>
                <w:sz w:val="20"/>
                <w:szCs w:val="20"/>
              </w:rPr>
            </w:pPr>
            <w:r w:rsidDel="00000000" w:rsidR="00000000" w:rsidRPr="00000000">
              <w:rPr>
                <w:sz w:val="20"/>
                <w:szCs w:val="20"/>
                <w:rtl w:val="0"/>
              </w:rPr>
              <w:t xml:space="preserve">9.1% of species // 16.4% of species w/ NCBI records</w:t>
            </w:r>
          </w:p>
        </w:tc>
      </w:tr>
      <w:tr>
        <w:trPr>
          <w:cantSplit w:val="0"/>
          <w:trHeight w:val="431.99999999999994" w:hRule="atLeast"/>
          <w:tblHeader w:val="0"/>
        </w:trPr>
        <w:tc>
          <w:tcPr>
            <w:tcMar>
              <w:top w:w="0.0" w:type="dxa"/>
              <w:left w:w="0.0" w:type="dxa"/>
              <w:bottom w:w="0.0" w:type="dxa"/>
              <w:right w:w="0.0" w:type="dxa"/>
            </w:tcMar>
            <w:vAlign w:val="center"/>
          </w:tcPr>
          <w:p w:rsidR="00000000" w:rsidDel="00000000" w:rsidP="00000000" w:rsidRDefault="00000000" w:rsidRPr="00000000" w14:paraId="0000006A">
            <w:pPr>
              <w:widowControl w:val="0"/>
              <w:spacing w:line="240" w:lineRule="auto"/>
              <w:jc w:val="center"/>
              <w:rPr>
                <w:sz w:val="20"/>
                <w:szCs w:val="20"/>
              </w:rPr>
            </w:pPr>
            <w:r w:rsidDel="00000000" w:rsidR="00000000" w:rsidRPr="00000000">
              <w:rPr>
                <w:sz w:val="20"/>
                <w:szCs w:val="20"/>
                <w:rtl w:val="0"/>
              </w:rPr>
              <w:t xml:space="preserve">Complete Circular Mitogenome</w:t>
            </w:r>
          </w:p>
        </w:tc>
        <w:tc>
          <w:tcPr>
            <w:tcMar>
              <w:top w:w="0.0" w:type="dxa"/>
              <w:left w:w="0.0" w:type="dxa"/>
              <w:bottom w:w="0.0" w:type="dxa"/>
              <w:right w:w="0.0" w:type="dxa"/>
            </w:tcMar>
            <w:vAlign w:val="center"/>
          </w:tcPr>
          <w:p w:rsidR="00000000" w:rsidDel="00000000" w:rsidP="00000000" w:rsidRDefault="00000000" w:rsidRPr="00000000" w14:paraId="0000006B">
            <w:pPr>
              <w:widowControl w:val="0"/>
              <w:spacing w:after="240" w:before="460" w:line="240" w:lineRule="auto"/>
              <w:jc w:val="center"/>
              <w:rPr>
                <w:sz w:val="20"/>
                <w:szCs w:val="20"/>
              </w:rPr>
            </w:pPr>
            <w:r w:rsidDel="00000000" w:rsidR="00000000" w:rsidRPr="00000000">
              <w:rPr>
                <w:sz w:val="20"/>
                <w:szCs w:val="20"/>
                <w:rtl w:val="0"/>
              </w:rPr>
              <w:t xml:space="preserve">876/6</w:t>
            </w:r>
          </w:p>
        </w:tc>
        <w:tc>
          <w:tcPr>
            <w:tcMar>
              <w:top w:w="0.0" w:type="dxa"/>
              <w:left w:w="0.0" w:type="dxa"/>
              <w:bottom w:w="0.0" w:type="dxa"/>
              <w:right w:w="0.0" w:type="dxa"/>
            </w:tcMar>
            <w:vAlign w:val="center"/>
          </w:tcPr>
          <w:p w:rsidR="00000000" w:rsidDel="00000000" w:rsidP="00000000" w:rsidRDefault="00000000" w:rsidRPr="00000000" w14:paraId="0000006C">
            <w:pPr>
              <w:widowControl w:val="0"/>
              <w:spacing w:after="240" w:before="460" w:line="240" w:lineRule="auto"/>
              <w:jc w:val="center"/>
              <w:rPr>
                <w:sz w:val="20"/>
                <w:szCs w:val="20"/>
              </w:rPr>
            </w:pPr>
            <w:r w:rsidDel="00000000" w:rsidR="00000000" w:rsidRPr="00000000">
              <w:rPr>
                <w:sz w:val="20"/>
                <w:szCs w:val="20"/>
                <w:rtl w:val="0"/>
              </w:rPr>
              <w:t xml:space="preserve">72.7% of mitogenomes</w:t>
            </w:r>
          </w:p>
        </w:tc>
      </w:tr>
      <w:tr>
        <w:trPr>
          <w:cantSplit w:val="0"/>
          <w:trHeight w:val="431.99999999999994" w:hRule="atLeast"/>
          <w:tblHeader w:val="0"/>
        </w:trPr>
        <w:tc>
          <w:tcPr>
            <w:tcMar>
              <w:top w:w="0.0" w:type="dxa"/>
              <w:left w:w="0.0" w:type="dxa"/>
              <w:bottom w:w="0.0" w:type="dxa"/>
              <w:right w:w="0.0" w:type="dxa"/>
            </w:tcMar>
            <w:vAlign w:val="center"/>
          </w:tcPr>
          <w:p w:rsidR="00000000" w:rsidDel="00000000" w:rsidP="00000000" w:rsidRDefault="00000000" w:rsidRPr="00000000" w14:paraId="0000006D">
            <w:pPr>
              <w:widowControl w:val="0"/>
              <w:spacing w:after="240" w:before="460" w:line="240" w:lineRule="auto"/>
              <w:jc w:val="center"/>
              <w:rPr>
                <w:sz w:val="20"/>
                <w:szCs w:val="20"/>
              </w:rPr>
            </w:pPr>
            <w:r w:rsidDel="00000000" w:rsidR="00000000" w:rsidRPr="00000000">
              <w:rPr>
                <w:sz w:val="20"/>
                <w:szCs w:val="20"/>
                <w:rtl w:val="0"/>
              </w:rPr>
              <w:t xml:space="preserve">Complete linear mitogenomes</w:t>
            </w:r>
          </w:p>
        </w:tc>
        <w:tc>
          <w:tcPr>
            <w:tcMar>
              <w:top w:w="0.0" w:type="dxa"/>
              <w:left w:w="0.0" w:type="dxa"/>
              <w:bottom w:w="0.0" w:type="dxa"/>
              <w:right w:w="0.0" w:type="dxa"/>
            </w:tcMar>
            <w:vAlign w:val="center"/>
          </w:tcPr>
          <w:p w:rsidR="00000000" w:rsidDel="00000000" w:rsidP="00000000" w:rsidRDefault="00000000" w:rsidRPr="00000000" w14:paraId="0000006E">
            <w:pPr>
              <w:widowControl w:val="0"/>
              <w:spacing w:line="240" w:lineRule="auto"/>
              <w:jc w:val="center"/>
              <w:rPr>
                <w:sz w:val="20"/>
                <w:szCs w:val="20"/>
              </w:rPr>
            </w:pPr>
            <w:r w:rsidDel="00000000" w:rsidR="00000000" w:rsidRPr="00000000">
              <w:rPr>
                <w:sz w:val="20"/>
                <w:szCs w:val="20"/>
                <w:rtl w:val="0"/>
              </w:rPr>
              <w:t xml:space="preserve">16/0</w:t>
            </w:r>
          </w:p>
        </w:tc>
        <w:tc>
          <w:tcPr>
            <w:tcMar>
              <w:top w:w="0.0" w:type="dxa"/>
              <w:left w:w="0.0" w:type="dxa"/>
              <w:bottom w:w="0.0" w:type="dxa"/>
              <w:right w:w="0.0" w:type="dxa"/>
            </w:tcMar>
            <w:vAlign w:val="center"/>
          </w:tcPr>
          <w:p w:rsidR="00000000" w:rsidDel="00000000" w:rsidP="00000000" w:rsidRDefault="00000000" w:rsidRPr="00000000" w14:paraId="0000006F">
            <w:pPr>
              <w:widowControl w:val="0"/>
              <w:spacing w:line="240" w:lineRule="auto"/>
              <w:jc w:val="center"/>
              <w:rPr>
                <w:sz w:val="20"/>
                <w:szCs w:val="20"/>
              </w:rPr>
            </w:pPr>
            <w:r w:rsidDel="00000000" w:rsidR="00000000" w:rsidRPr="00000000">
              <w:rPr>
                <w:sz w:val="20"/>
                <w:szCs w:val="20"/>
                <w:rtl w:val="0"/>
              </w:rPr>
              <w:t xml:space="preserve">1.3% of mitogenomes</w:t>
            </w:r>
          </w:p>
        </w:tc>
      </w:tr>
      <w:tr>
        <w:trPr>
          <w:cantSplit w:val="0"/>
          <w:trHeight w:val="431.99999999999994" w:hRule="atLeast"/>
          <w:tblHeader w:val="0"/>
        </w:trPr>
        <w:tc>
          <w:tcPr>
            <w:tcMar>
              <w:top w:w="0.0" w:type="dxa"/>
              <w:left w:w="0.0" w:type="dxa"/>
              <w:bottom w:w="0.0" w:type="dxa"/>
              <w:right w:w="0.0" w:type="dxa"/>
            </w:tcMar>
            <w:vAlign w:val="center"/>
          </w:tcPr>
          <w:p w:rsidR="00000000" w:rsidDel="00000000" w:rsidP="00000000" w:rsidRDefault="00000000" w:rsidRPr="00000000" w14:paraId="00000070">
            <w:pPr>
              <w:widowControl w:val="0"/>
              <w:spacing w:after="240" w:before="460" w:line="240" w:lineRule="auto"/>
              <w:jc w:val="center"/>
              <w:rPr>
                <w:sz w:val="20"/>
                <w:szCs w:val="20"/>
              </w:rPr>
            </w:pPr>
            <w:r w:rsidDel="00000000" w:rsidR="00000000" w:rsidRPr="00000000">
              <w:rPr>
                <w:sz w:val="20"/>
                <w:szCs w:val="20"/>
                <w:rtl w:val="0"/>
              </w:rPr>
              <w:t xml:space="preserve">Incomplete Circular mitogenomes </w:t>
            </w:r>
          </w:p>
        </w:tc>
        <w:tc>
          <w:tcPr>
            <w:tcMar>
              <w:top w:w="0.0" w:type="dxa"/>
              <w:left w:w="0.0" w:type="dxa"/>
              <w:bottom w:w="0.0" w:type="dxa"/>
              <w:right w:w="0.0" w:type="dxa"/>
            </w:tcMar>
            <w:vAlign w:val="center"/>
          </w:tcPr>
          <w:p w:rsidR="00000000" w:rsidDel="00000000" w:rsidP="00000000" w:rsidRDefault="00000000" w:rsidRPr="00000000" w14:paraId="00000071">
            <w:pPr>
              <w:widowControl w:val="0"/>
              <w:spacing w:after="240" w:before="460" w:line="240" w:lineRule="auto"/>
              <w:jc w:val="center"/>
              <w:rPr>
                <w:sz w:val="20"/>
                <w:szCs w:val="20"/>
              </w:rPr>
            </w:pPr>
            <w:r w:rsidDel="00000000" w:rsidR="00000000" w:rsidRPr="00000000">
              <w:rPr>
                <w:sz w:val="20"/>
                <w:szCs w:val="20"/>
                <w:rtl w:val="0"/>
              </w:rPr>
              <w:t xml:space="preserve">93/2</w:t>
            </w:r>
          </w:p>
        </w:tc>
        <w:tc>
          <w:tcPr>
            <w:tcMar>
              <w:top w:w="0.0" w:type="dxa"/>
              <w:left w:w="0.0" w:type="dxa"/>
              <w:bottom w:w="0.0" w:type="dxa"/>
              <w:right w:w="0.0" w:type="dxa"/>
            </w:tcMar>
            <w:vAlign w:val="center"/>
          </w:tcPr>
          <w:p w:rsidR="00000000" w:rsidDel="00000000" w:rsidP="00000000" w:rsidRDefault="00000000" w:rsidRPr="00000000" w14:paraId="00000072">
            <w:pPr>
              <w:widowControl w:val="0"/>
              <w:spacing w:line="240" w:lineRule="auto"/>
              <w:jc w:val="center"/>
              <w:rPr>
                <w:sz w:val="20"/>
                <w:szCs w:val="20"/>
              </w:rPr>
            </w:pPr>
            <w:r w:rsidDel="00000000" w:rsidR="00000000" w:rsidRPr="00000000">
              <w:rPr>
                <w:sz w:val="20"/>
                <w:szCs w:val="20"/>
                <w:rtl w:val="0"/>
              </w:rPr>
              <w:t xml:space="preserve">7.8% of mitogenomes</w:t>
            </w:r>
          </w:p>
        </w:tc>
      </w:tr>
      <w:tr>
        <w:trPr>
          <w:cantSplit w:val="0"/>
          <w:trHeight w:val="431.99999999999994" w:hRule="atLeast"/>
          <w:tblHeader w:val="0"/>
        </w:trPr>
        <w:tc>
          <w:tcPr>
            <w:tcMar>
              <w:top w:w="0.0" w:type="dxa"/>
              <w:left w:w="0.0" w:type="dxa"/>
              <w:bottom w:w="0.0" w:type="dxa"/>
              <w:right w:w="0.0" w:type="dxa"/>
            </w:tcMar>
            <w:vAlign w:val="center"/>
          </w:tcPr>
          <w:p w:rsidR="00000000" w:rsidDel="00000000" w:rsidP="00000000" w:rsidRDefault="00000000" w:rsidRPr="00000000" w14:paraId="00000073">
            <w:pPr>
              <w:widowControl w:val="0"/>
              <w:spacing w:after="240" w:before="460" w:line="240" w:lineRule="auto"/>
              <w:jc w:val="center"/>
              <w:rPr>
                <w:sz w:val="20"/>
                <w:szCs w:val="20"/>
              </w:rPr>
            </w:pPr>
            <w:r w:rsidDel="00000000" w:rsidR="00000000" w:rsidRPr="00000000">
              <w:rPr>
                <w:sz w:val="20"/>
                <w:szCs w:val="20"/>
                <w:rtl w:val="0"/>
              </w:rPr>
              <w:t xml:space="preserve">NCBI submission issue (claim complete but not coded that way)</w:t>
            </w:r>
          </w:p>
        </w:tc>
        <w:tc>
          <w:tcPr>
            <w:tcMar>
              <w:top w:w="0.0" w:type="dxa"/>
              <w:left w:w="0.0" w:type="dxa"/>
              <w:bottom w:w="0.0" w:type="dxa"/>
              <w:right w:w="0.0" w:type="dxa"/>
            </w:tcMar>
            <w:vAlign w:val="center"/>
          </w:tcPr>
          <w:p w:rsidR="00000000" w:rsidDel="00000000" w:rsidP="00000000" w:rsidRDefault="00000000" w:rsidRPr="00000000" w14:paraId="00000074">
            <w:pPr>
              <w:widowControl w:val="0"/>
              <w:spacing w:after="240" w:before="460" w:line="240" w:lineRule="auto"/>
              <w:jc w:val="center"/>
              <w:rPr>
                <w:sz w:val="20"/>
                <w:szCs w:val="20"/>
              </w:rPr>
            </w:pPr>
            <w:r w:rsidDel="00000000" w:rsidR="00000000" w:rsidRPr="00000000">
              <w:rPr>
                <w:sz w:val="20"/>
                <w:szCs w:val="20"/>
                <w:rtl w:val="0"/>
              </w:rPr>
              <w:t xml:space="preserve">54</w:t>
            </w:r>
          </w:p>
        </w:tc>
        <w:tc>
          <w:tcPr>
            <w:tcMar>
              <w:top w:w="0.0" w:type="dxa"/>
              <w:left w:w="0.0" w:type="dxa"/>
              <w:bottom w:w="0.0" w:type="dxa"/>
              <w:right w:w="0.0" w:type="dxa"/>
            </w:tcMar>
            <w:vAlign w:val="center"/>
          </w:tcPr>
          <w:p w:rsidR="00000000" w:rsidDel="00000000" w:rsidP="00000000" w:rsidRDefault="00000000" w:rsidRPr="00000000" w14:paraId="00000075">
            <w:pPr>
              <w:widowControl w:val="0"/>
              <w:spacing w:line="240" w:lineRule="auto"/>
              <w:jc w:val="center"/>
              <w:rPr>
                <w:sz w:val="20"/>
                <w:szCs w:val="20"/>
              </w:rPr>
            </w:pPr>
            <w:r w:rsidDel="00000000" w:rsidR="00000000" w:rsidRPr="00000000">
              <w:rPr>
                <w:sz w:val="20"/>
                <w:szCs w:val="20"/>
                <w:rtl w:val="0"/>
              </w:rPr>
              <w:t xml:space="preserve">4.5% of mitogenomes</w:t>
            </w:r>
          </w:p>
        </w:tc>
      </w:tr>
      <w:tr>
        <w:trPr>
          <w:cantSplit w:val="0"/>
          <w:trHeight w:val="431.99999999999994" w:hRule="atLeast"/>
          <w:tblHeader w:val="0"/>
        </w:trPr>
        <w:tc>
          <w:tcPr>
            <w:tcMar>
              <w:top w:w="0.0" w:type="dxa"/>
              <w:left w:w="0.0" w:type="dxa"/>
              <w:bottom w:w="0.0" w:type="dxa"/>
              <w:right w:w="0.0" w:type="dxa"/>
            </w:tcMar>
            <w:vAlign w:val="center"/>
          </w:tcPr>
          <w:p w:rsidR="00000000" w:rsidDel="00000000" w:rsidP="00000000" w:rsidRDefault="00000000" w:rsidRPr="00000000" w14:paraId="00000076">
            <w:pPr>
              <w:widowControl w:val="0"/>
              <w:spacing w:after="240" w:before="460" w:line="240" w:lineRule="auto"/>
              <w:jc w:val="center"/>
              <w:rPr>
                <w:sz w:val="20"/>
                <w:szCs w:val="20"/>
              </w:rPr>
            </w:pPr>
            <w:r w:rsidDel="00000000" w:rsidR="00000000" w:rsidRPr="00000000">
              <w:rPr>
                <w:sz w:val="20"/>
                <w:szCs w:val="20"/>
                <w:rtl w:val="0"/>
              </w:rPr>
              <w:t xml:space="preserve">Partial mitogenomes </w:t>
            </w:r>
          </w:p>
        </w:tc>
        <w:tc>
          <w:tcPr>
            <w:tcMar>
              <w:top w:w="0.0" w:type="dxa"/>
              <w:left w:w="0.0" w:type="dxa"/>
              <w:bottom w:w="0.0" w:type="dxa"/>
              <w:right w:w="0.0" w:type="dxa"/>
            </w:tcMar>
            <w:vAlign w:val="center"/>
          </w:tcPr>
          <w:p w:rsidR="00000000" w:rsidDel="00000000" w:rsidP="00000000" w:rsidRDefault="00000000" w:rsidRPr="00000000" w14:paraId="00000077">
            <w:pPr>
              <w:widowControl w:val="0"/>
              <w:spacing w:line="240" w:lineRule="auto"/>
              <w:jc w:val="center"/>
              <w:rPr>
                <w:sz w:val="20"/>
                <w:szCs w:val="20"/>
              </w:rPr>
            </w:pPr>
            <w:r w:rsidDel="00000000" w:rsidR="00000000" w:rsidRPr="00000000">
              <w:rPr>
                <w:sz w:val="20"/>
                <w:szCs w:val="20"/>
                <w:rtl w:val="0"/>
              </w:rPr>
              <w:t xml:space="preserve">464</w:t>
            </w:r>
          </w:p>
        </w:tc>
        <w:tc>
          <w:tcPr>
            <w:tcMar>
              <w:top w:w="0.0" w:type="dxa"/>
              <w:left w:w="0.0" w:type="dxa"/>
              <w:bottom w:w="0.0" w:type="dxa"/>
              <w:right w:w="0.0" w:type="dxa"/>
            </w:tcMar>
            <w:vAlign w:val="center"/>
          </w:tcPr>
          <w:p w:rsidR="00000000" w:rsidDel="00000000" w:rsidP="00000000" w:rsidRDefault="00000000" w:rsidRPr="00000000" w14:paraId="00000078">
            <w:pPr>
              <w:widowControl w:val="0"/>
              <w:spacing w:line="240" w:lineRule="auto"/>
              <w:jc w:val="center"/>
              <w:rPr>
                <w:sz w:val="20"/>
                <w:szCs w:val="20"/>
              </w:rPr>
            </w:pPr>
            <w:r w:rsidDel="00000000" w:rsidR="00000000" w:rsidRPr="00000000">
              <w:rPr>
                <w:sz w:val="20"/>
                <w:szCs w:val="20"/>
                <w:rtl w:val="0"/>
              </w:rPr>
              <w:t xml:space="preserve">38.3% of mitogenomes</w:t>
            </w:r>
          </w:p>
        </w:tc>
      </w:tr>
      <w:tr>
        <w:trPr>
          <w:cantSplit w:val="0"/>
          <w:trHeight w:val="144" w:hRule="atLeast"/>
          <w:tblHeader w:val="0"/>
        </w:trPr>
        <w:tc>
          <w:tcPr>
            <w:tcMar>
              <w:top w:w="0.0" w:type="dxa"/>
              <w:left w:w="0.0" w:type="dxa"/>
              <w:bottom w:w="0.0" w:type="dxa"/>
              <w:right w:w="0.0" w:type="dxa"/>
            </w:tcMar>
            <w:vAlign w:val="center"/>
          </w:tcPr>
          <w:p w:rsidR="00000000" w:rsidDel="00000000" w:rsidP="00000000" w:rsidRDefault="00000000" w:rsidRPr="00000000" w14:paraId="00000079">
            <w:pPr>
              <w:widowControl w:val="0"/>
              <w:spacing w:after="240" w:before="460" w:line="240" w:lineRule="auto"/>
              <w:jc w:val="center"/>
              <w:rPr>
                <w:sz w:val="20"/>
                <w:szCs w:val="20"/>
              </w:rPr>
            </w:pPr>
            <w:r w:rsidDel="00000000" w:rsidR="00000000" w:rsidRPr="00000000">
              <w:rPr>
                <w:sz w:val="20"/>
                <w:szCs w:val="20"/>
                <w:rtl w:val="0"/>
              </w:rPr>
              <w:t xml:space="preserve">Partial mitogenomes only</w:t>
            </w:r>
          </w:p>
        </w:tc>
        <w:tc>
          <w:tcPr>
            <w:tcMar>
              <w:top w:w="0.0" w:type="dxa"/>
              <w:left w:w="0.0" w:type="dxa"/>
              <w:bottom w:w="0.0" w:type="dxa"/>
              <w:right w:w="0.0" w:type="dxa"/>
            </w:tcMar>
            <w:vAlign w:val="center"/>
          </w:tcPr>
          <w:p w:rsidR="00000000" w:rsidDel="00000000" w:rsidP="00000000" w:rsidRDefault="00000000" w:rsidRPr="00000000" w14:paraId="0000007A">
            <w:pPr>
              <w:widowControl w:val="0"/>
              <w:spacing w:line="240" w:lineRule="auto"/>
              <w:jc w:val="center"/>
              <w:rPr>
                <w:sz w:val="20"/>
                <w:szCs w:val="20"/>
              </w:rPr>
            </w:pPr>
            <w:r w:rsidDel="00000000" w:rsidR="00000000" w:rsidRPr="00000000">
              <w:rPr>
                <w:sz w:val="20"/>
                <w:szCs w:val="20"/>
                <w:rtl w:val="0"/>
              </w:rPr>
              <w:t xml:space="preserve">294</w:t>
            </w:r>
          </w:p>
        </w:tc>
        <w:tc>
          <w:tcPr>
            <w:tcMar>
              <w:top w:w="0.0" w:type="dxa"/>
              <w:left w:w="0.0" w:type="dxa"/>
              <w:bottom w:w="0.0" w:type="dxa"/>
              <w:right w:w="0.0" w:type="dxa"/>
            </w:tcMar>
            <w:vAlign w:val="center"/>
          </w:tcPr>
          <w:p w:rsidR="00000000" w:rsidDel="00000000" w:rsidP="00000000" w:rsidRDefault="00000000" w:rsidRPr="00000000" w14:paraId="0000007B">
            <w:pPr>
              <w:widowControl w:val="0"/>
              <w:spacing w:line="240" w:lineRule="auto"/>
              <w:jc w:val="center"/>
              <w:rPr>
                <w:sz w:val="20"/>
                <w:szCs w:val="20"/>
              </w:rPr>
            </w:pPr>
            <w:r w:rsidDel="00000000" w:rsidR="00000000" w:rsidRPr="00000000">
              <w:rPr>
                <w:sz w:val="20"/>
                <w:szCs w:val="20"/>
                <w:rtl w:val="0"/>
              </w:rPr>
              <w:t xml:space="preserve">24.2% of mitogenomes</w:t>
            </w:r>
          </w:p>
        </w:tc>
      </w:tr>
    </w:tbl>
    <w:p w:rsidR="00000000" w:rsidDel="00000000" w:rsidP="00000000" w:rsidRDefault="00000000" w:rsidRPr="00000000" w14:paraId="0000007C">
      <w:pPr>
        <w:rPr>
          <w:sz w:val="24"/>
          <w:szCs w:val="24"/>
        </w:rPr>
      </w:pPr>
      <w:r w:rsidDel="00000000" w:rsidR="00000000" w:rsidRPr="00000000">
        <w:rPr>
          <w:rtl w:val="0"/>
        </w:rPr>
      </w:r>
    </w:p>
    <w:p w:rsidR="00000000" w:rsidDel="00000000" w:rsidP="00000000" w:rsidRDefault="00000000" w:rsidRPr="00000000" w14:paraId="0000007D">
      <w:pPr>
        <w:rPr>
          <w:sz w:val="24"/>
          <w:szCs w:val="24"/>
        </w:rPr>
      </w:pPr>
      <w:r w:rsidDel="00000000" w:rsidR="00000000" w:rsidRPr="00000000">
        <w:rPr>
          <w:sz w:val="24"/>
          <w:szCs w:val="24"/>
          <w:rtl w:val="0"/>
        </w:rPr>
        <w:t xml:space="preserve">Across the 6 metabarcoding loci we found a wide range of species coverage (Table 4) with Leray Metazoan CO1 having the highest and Amaral-Zettler Phytoplankton 18S having the fewest. We similarly find wide biases in completeness across taxonomic groups with marine mammals and elasmobranchs consistently having the smallest reference database gap (Figures </w:t>
      </w:r>
      <w:commentRangeStart w:id="17"/>
      <w:r w:rsidDel="00000000" w:rsidR="00000000" w:rsidRPr="00000000">
        <w:rPr>
          <w:sz w:val="24"/>
          <w:szCs w:val="24"/>
          <w:rtl w:val="0"/>
        </w:rPr>
        <w:t xml:space="preserve">3-4</w:t>
      </w:r>
      <w:commentRangeEnd w:id="17"/>
      <w:r w:rsidDel="00000000" w:rsidR="00000000" w:rsidRPr="00000000">
        <w:commentReference w:id="17"/>
      </w:r>
      <w:r w:rsidDel="00000000" w:rsidR="00000000" w:rsidRPr="00000000">
        <w:rPr>
          <w:sz w:val="24"/>
          <w:szCs w:val="24"/>
          <w:rtl w:val="0"/>
        </w:rPr>
        <w:t xml:space="preserve">, SXX-XX).</w:t>
      </w:r>
    </w:p>
    <w:p w:rsidR="00000000" w:rsidDel="00000000" w:rsidP="00000000" w:rsidRDefault="00000000" w:rsidRPr="00000000" w14:paraId="0000007E">
      <w:pPr>
        <w:rPr>
          <w:sz w:val="24"/>
          <w:szCs w:val="24"/>
        </w:rPr>
      </w:pPr>
      <w:r w:rsidDel="00000000" w:rsidR="00000000" w:rsidRPr="00000000">
        <w:rPr>
          <w:rtl w:val="0"/>
        </w:rPr>
      </w:r>
    </w:p>
    <w:p w:rsidR="00000000" w:rsidDel="00000000" w:rsidP="00000000" w:rsidRDefault="00000000" w:rsidRPr="00000000" w14:paraId="0000007F">
      <w:pPr>
        <w:rPr>
          <w:sz w:val="24"/>
          <w:szCs w:val="24"/>
        </w:rPr>
      </w:pPr>
      <w:r w:rsidDel="00000000" w:rsidR="00000000" w:rsidRPr="00000000">
        <w:rPr>
          <w:sz w:val="24"/>
          <w:szCs w:val="24"/>
          <w:rtl w:val="0"/>
        </w:rPr>
        <w:t xml:space="preserve">Lastly, we demonstrate that the rate of increase in additional DNA reference barcodes has not been linear nor consistent across marker sets (Figure 5). CO1 has the greatest number of reference sequences while XX has the least. </w:t>
      </w:r>
    </w:p>
    <w:p w:rsidR="00000000" w:rsidDel="00000000" w:rsidP="00000000" w:rsidRDefault="00000000" w:rsidRPr="00000000" w14:paraId="00000080">
      <w:pPr>
        <w:rPr>
          <w:sz w:val="24"/>
          <w:szCs w:val="24"/>
        </w:rPr>
      </w:pPr>
      <w:r w:rsidDel="00000000" w:rsidR="00000000" w:rsidRPr="00000000">
        <w:rPr>
          <w:rtl w:val="0"/>
        </w:rPr>
      </w:r>
    </w:p>
    <w:p w:rsidR="00000000" w:rsidDel="00000000" w:rsidP="00000000" w:rsidRDefault="00000000" w:rsidRPr="00000000" w14:paraId="00000081">
      <w:pPr>
        <w:pStyle w:val="Heading1"/>
        <w:rPr>
          <w:sz w:val="24"/>
          <w:szCs w:val="24"/>
        </w:rPr>
      </w:pPr>
      <w:bookmarkStart w:colFirst="0" w:colLast="0" w:name="_sye65q500nw" w:id="5"/>
      <w:bookmarkEnd w:id="5"/>
      <w:r w:rsidDel="00000000" w:rsidR="00000000" w:rsidRPr="00000000">
        <w:rPr>
          <w:sz w:val="24"/>
          <w:szCs w:val="24"/>
          <w:rtl w:val="0"/>
        </w:rPr>
        <w:t xml:space="preserve">Discussion</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numPr>
          <w:ilvl w:val="0"/>
          <w:numId w:val="2"/>
        </w:numPr>
        <w:ind w:left="720" w:hanging="360"/>
        <w:rPr>
          <w:sz w:val="24"/>
          <w:szCs w:val="24"/>
        </w:rPr>
      </w:pPr>
      <w:r w:rsidDel="00000000" w:rsidR="00000000" w:rsidRPr="00000000">
        <w:rPr>
          <w:sz w:val="24"/>
          <w:szCs w:val="24"/>
          <w:rtl w:val="0"/>
        </w:rPr>
        <w:t xml:space="preserve">Many species missing data</w:t>
      </w:r>
    </w:p>
    <w:p w:rsidR="00000000" w:rsidDel="00000000" w:rsidP="00000000" w:rsidRDefault="00000000" w:rsidRPr="00000000" w14:paraId="00000084">
      <w:pPr>
        <w:numPr>
          <w:ilvl w:val="1"/>
          <w:numId w:val="2"/>
        </w:numPr>
        <w:ind w:left="1440" w:hanging="360"/>
        <w:rPr>
          <w:sz w:val="24"/>
          <w:szCs w:val="24"/>
        </w:rPr>
      </w:pPr>
      <w:r w:rsidDel="00000000" w:rsidR="00000000" w:rsidRPr="00000000">
        <w:rPr>
          <w:sz w:val="24"/>
          <w:szCs w:val="24"/>
          <w:rtl w:val="0"/>
        </w:rPr>
        <w:t xml:space="preserve">Uneven sequencing across species, markers, and habitats</w:t>
      </w:r>
    </w:p>
    <w:p w:rsidR="00000000" w:rsidDel="00000000" w:rsidP="00000000" w:rsidRDefault="00000000" w:rsidRPr="00000000" w14:paraId="00000085">
      <w:pPr>
        <w:numPr>
          <w:ilvl w:val="1"/>
          <w:numId w:val="2"/>
        </w:numPr>
        <w:ind w:left="1440" w:hanging="360"/>
        <w:rPr>
          <w:sz w:val="24"/>
          <w:szCs w:val="24"/>
        </w:rPr>
      </w:pPr>
      <w:r w:rsidDel="00000000" w:rsidR="00000000" w:rsidRPr="00000000">
        <w:rPr>
          <w:sz w:val="24"/>
          <w:szCs w:val="24"/>
          <w:rtl w:val="0"/>
        </w:rPr>
        <w:t xml:space="preserve">Charismatic megafauna get all the love</w:t>
      </w:r>
    </w:p>
    <w:p w:rsidR="00000000" w:rsidDel="00000000" w:rsidP="00000000" w:rsidRDefault="00000000" w:rsidRPr="00000000" w14:paraId="00000086">
      <w:pPr>
        <w:numPr>
          <w:ilvl w:val="1"/>
          <w:numId w:val="2"/>
        </w:numPr>
        <w:ind w:left="1440" w:hanging="360"/>
        <w:rPr>
          <w:sz w:val="24"/>
          <w:szCs w:val="24"/>
        </w:rPr>
      </w:pPr>
      <w:r w:rsidDel="00000000" w:rsidR="00000000" w:rsidRPr="00000000">
        <w:rPr>
          <w:sz w:val="24"/>
          <w:szCs w:val="24"/>
          <w:rtl w:val="0"/>
        </w:rPr>
        <w:t xml:space="preserve">Many taxa of interest are missing crucial genetic resources</w:t>
      </w:r>
    </w:p>
    <w:p w:rsidR="00000000" w:rsidDel="00000000" w:rsidP="00000000" w:rsidRDefault="00000000" w:rsidRPr="00000000" w14:paraId="00000087">
      <w:pPr>
        <w:numPr>
          <w:ilvl w:val="2"/>
          <w:numId w:val="2"/>
        </w:numPr>
        <w:ind w:left="2160" w:hanging="360"/>
        <w:rPr>
          <w:sz w:val="24"/>
          <w:szCs w:val="24"/>
        </w:rPr>
      </w:pPr>
      <w:r w:rsidDel="00000000" w:rsidR="00000000" w:rsidRPr="00000000">
        <w:rPr>
          <w:sz w:val="24"/>
          <w:szCs w:val="24"/>
          <w:rtl w:val="0"/>
        </w:rPr>
        <w:t xml:space="preserve">Highlight commercial examples</w:t>
      </w:r>
    </w:p>
    <w:p w:rsidR="00000000" w:rsidDel="00000000" w:rsidP="00000000" w:rsidRDefault="00000000" w:rsidRPr="00000000" w14:paraId="00000088">
      <w:pPr>
        <w:numPr>
          <w:ilvl w:val="2"/>
          <w:numId w:val="2"/>
        </w:numPr>
        <w:ind w:left="2160" w:hanging="360"/>
        <w:rPr>
          <w:sz w:val="24"/>
          <w:szCs w:val="24"/>
        </w:rPr>
      </w:pPr>
      <w:r w:rsidDel="00000000" w:rsidR="00000000" w:rsidRPr="00000000">
        <w:rPr>
          <w:sz w:val="24"/>
          <w:szCs w:val="24"/>
          <w:rtl w:val="0"/>
        </w:rPr>
        <w:t xml:space="preserve">Protected species examples</w:t>
      </w:r>
    </w:p>
    <w:p w:rsidR="00000000" w:rsidDel="00000000" w:rsidP="00000000" w:rsidRDefault="00000000" w:rsidRPr="00000000" w14:paraId="00000089">
      <w:pPr>
        <w:numPr>
          <w:ilvl w:val="2"/>
          <w:numId w:val="2"/>
        </w:numPr>
        <w:ind w:left="2160" w:hanging="360"/>
        <w:rPr>
          <w:sz w:val="24"/>
          <w:szCs w:val="24"/>
        </w:rPr>
      </w:pPr>
      <w:r w:rsidDel="00000000" w:rsidR="00000000" w:rsidRPr="00000000">
        <w:rPr>
          <w:sz w:val="24"/>
          <w:szCs w:val="24"/>
          <w:rtl w:val="0"/>
        </w:rPr>
        <w:t xml:space="preserve">Invasive species examples</w:t>
      </w:r>
    </w:p>
    <w:p w:rsidR="00000000" w:rsidDel="00000000" w:rsidP="00000000" w:rsidRDefault="00000000" w:rsidRPr="00000000" w14:paraId="0000008A">
      <w:pPr>
        <w:numPr>
          <w:ilvl w:val="0"/>
          <w:numId w:val="2"/>
        </w:numPr>
        <w:ind w:left="720" w:hanging="360"/>
        <w:rPr>
          <w:sz w:val="24"/>
          <w:szCs w:val="24"/>
          <w:u w:val="none"/>
        </w:rPr>
      </w:pPr>
      <w:r w:rsidDel="00000000" w:rsidR="00000000" w:rsidRPr="00000000">
        <w:rPr>
          <w:sz w:val="24"/>
          <w:szCs w:val="24"/>
          <w:rtl w:val="0"/>
        </w:rPr>
        <w:t xml:space="preserve">Importance of voucher sequencing</w:t>
      </w:r>
    </w:p>
    <w:p w:rsidR="00000000" w:rsidDel="00000000" w:rsidP="00000000" w:rsidRDefault="00000000" w:rsidRPr="00000000" w14:paraId="0000008B">
      <w:pPr>
        <w:numPr>
          <w:ilvl w:val="0"/>
          <w:numId w:val="2"/>
        </w:numPr>
        <w:ind w:left="720" w:hanging="360"/>
        <w:rPr>
          <w:sz w:val="24"/>
          <w:szCs w:val="24"/>
          <w:u w:val="none"/>
        </w:rPr>
      </w:pPr>
      <w:r w:rsidDel="00000000" w:rsidR="00000000" w:rsidRPr="00000000">
        <w:rPr>
          <w:sz w:val="24"/>
          <w:szCs w:val="24"/>
          <w:rtl w:val="0"/>
        </w:rPr>
        <w:t xml:space="preserve">Need for supporting taxonomists and natural history</w:t>
      </w:r>
    </w:p>
    <w:p w:rsidR="00000000" w:rsidDel="00000000" w:rsidP="00000000" w:rsidRDefault="00000000" w:rsidRPr="00000000" w14:paraId="0000008C">
      <w:pPr>
        <w:numPr>
          <w:ilvl w:val="0"/>
          <w:numId w:val="2"/>
        </w:numPr>
        <w:ind w:left="720" w:hanging="360"/>
        <w:rPr>
          <w:sz w:val="24"/>
          <w:szCs w:val="24"/>
          <w:u w:val="none"/>
        </w:rPr>
      </w:pPr>
      <w:r w:rsidDel="00000000" w:rsidR="00000000" w:rsidRPr="00000000">
        <w:rPr>
          <w:sz w:val="24"/>
          <w:szCs w:val="24"/>
          <w:rtl w:val="0"/>
        </w:rPr>
        <w:t xml:space="preserve">Importance of mitogenome skimming</w:t>
      </w:r>
    </w:p>
    <w:p w:rsidR="00000000" w:rsidDel="00000000" w:rsidP="00000000" w:rsidRDefault="00000000" w:rsidRPr="00000000" w14:paraId="0000008D">
      <w:pPr>
        <w:numPr>
          <w:ilvl w:val="1"/>
          <w:numId w:val="2"/>
        </w:numPr>
        <w:ind w:left="1440" w:hanging="360"/>
        <w:rPr>
          <w:sz w:val="24"/>
          <w:szCs w:val="24"/>
          <w:u w:val="none"/>
        </w:rPr>
      </w:pPr>
      <w:r w:rsidDel="00000000" w:rsidR="00000000" w:rsidRPr="00000000">
        <w:rPr>
          <w:sz w:val="24"/>
          <w:szCs w:val="24"/>
          <w:rtl w:val="0"/>
        </w:rPr>
        <w:t xml:space="preserve">Future proof reference databases</w:t>
      </w:r>
    </w:p>
    <w:p w:rsidR="00000000" w:rsidDel="00000000" w:rsidP="00000000" w:rsidRDefault="00000000" w:rsidRPr="00000000" w14:paraId="0000008E">
      <w:pPr>
        <w:numPr>
          <w:ilvl w:val="1"/>
          <w:numId w:val="2"/>
        </w:numPr>
        <w:ind w:left="1440" w:hanging="360"/>
        <w:rPr>
          <w:sz w:val="24"/>
          <w:szCs w:val="24"/>
          <w:u w:val="none"/>
        </w:rPr>
      </w:pPr>
      <w:r w:rsidDel="00000000" w:rsidR="00000000" w:rsidRPr="00000000">
        <w:rPr>
          <w:sz w:val="24"/>
          <w:szCs w:val="24"/>
          <w:rtl w:val="0"/>
        </w:rPr>
        <w:t xml:space="preserve">qPCR assay development</w:t>
      </w:r>
    </w:p>
    <w:p w:rsidR="00000000" w:rsidDel="00000000" w:rsidP="00000000" w:rsidRDefault="00000000" w:rsidRPr="00000000" w14:paraId="0000008F">
      <w:pPr>
        <w:numPr>
          <w:ilvl w:val="0"/>
          <w:numId w:val="2"/>
        </w:numPr>
        <w:ind w:left="720" w:hanging="360"/>
        <w:rPr>
          <w:sz w:val="24"/>
          <w:szCs w:val="24"/>
          <w:u w:val="none"/>
        </w:rPr>
      </w:pPr>
      <w:r w:rsidDel="00000000" w:rsidR="00000000" w:rsidRPr="00000000">
        <w:rPr>
          <w:sz w:val="24"/>
          <w:szCs w:val="24"/>
          <w:rtl w:val="0"/>
        </w:rPr>
        <w:t xml:space="preserve">Value of the gap analysis workflow/tool </w:t>
      </w:r>
    </w:p>
    <w:p w:rsidR="00000000" w:rsidDel="00000000" w:rsidP="00000000" w:rsidRDefault="00000000" w:rsidRPr="00000000" w14:paraId="00000090">
      <w:pPr>
        <w:numPr>
          <w:ilvl w:val="0"/>
          <w:numId w:val="3"/>
        </w:numPr>
        <w:ind w:left="1440" w:hanging="360"/>
        <w:rPr>
          <w:sz w:val="24"/>
          <w:szCs w:val="24"/>
        </w:rPr>
      </w:pPr>
      <w:r w:rsidDel="00000000" w:rsidR="00000000" w:rsidRPr="00000000">
        <w:rPr>
          <w:sz w:val="24"/>
          <w:szCs w:val="24"/>
          <w:rtl w:val="0"/>
        </w:rPr>
        <w:t xml:space="preserve">This tool can incorporate any input reference database, including curated reference databases like MetaZooGene.</w:t>
      </w:r>
    </w:p>
    <w:p w:rsidR="00000000" w:rsidDel="00000000" w:rsidP="00000000" w:rsidRDefault="00000000" w:rsidRPr="00000000" w14:paraId="00000091">
      <w:pPr>
        <w:numPr>
          <w:ilvl w:val="0"/>
          <w:numId w:val="3"/>
        </w:numPr>
        <w:ind w:left="1440" w:hanging="360"/>
        <w:rPr>
          <w:sz w:val="24"/>
          <w:szCs w:val="24"/>
          <w:u w:val="none"/>
        </w:rPr>
      </w:pPr>
      <w:r w:rsidDel="00000000" w:rsidR="00000000" w:rsidRPr="00000000">
        <w:rPr>
          <w:sz w:val="24"/>
          <w:szCs w:val="24"/>
          <w:rtl w:val="0"/>
        </w:rPr>
        <w:t xml:space="preserve">Can be repeated for any case study of interest</w:t>
      </w:r>
    </w:p>
    <w:p w:rsidR="00000000" w:rsidDel="00000000" w:rsidP="00000000" w:rsidRDefault="00000000" w:rsidRPr="00000000" w14:paraId="00000092">
      <w:pPr>
        <w:numPr>
          <w:ilvl w:val="0"/>
          <w:numId w:val="3"/>
        </w:numPr>
        <w:ind w:left="1440" w:hanging="360"/>
        <w:rPr>
          <w:sz w:val="24"/>
          <w:szCs w:val="24"/>
          <w:u w:val="none"/>
        </w:rPr>
      </w:pPr>
      <w:r w:rsidDel="00000000" w:rsidR="00000000" w:rsidRPr="00000000">
        <w:rPr>
          <w:sz w:val="24"/>
          <w:szCs w:val="24"/>
          <w:rtl w:val="0"/>
        </w:rPr>
        <w:t xml:space="preserve">rCRUX databases being </w:t>
      </w:r>
      <w:commentRangeStart w:id="18"/>
      <w:r w:rsidDel="00000000" w:rsidR="00000000" w:rsidRPr="00000000">
        <w:rPr>
          <w:sz w:val="24"/>
          <w:szCs w:val="24"/>
          <w:rtl w:val="0"/>
        </w:rPr>
        <w:t xml:space="preserve">updated routinely</w:t>
      </w:r>
      <w:commentRangeEnd w:id="18"/>
      <w:r w:rsidDel="00000000" w:rsidR="00000000" w:rsidRPr="00000000">
        <w:commentReference w:id="18"/>
      </w:r>
      <w:r w:rsidDel="00000000" w:rsidR="00000000" w:rsidRPr="00000000">
        <w:rPr>
          <w:rtl w:val="0"/>
        </w:rPr>
      </w:r>
    </w:p>
    <w:p w:rsidR="00000000" w:rsidDel="00000000" w:rsidP="00000000" w:rsidRDefault="00000000" w:rsidRPr="00000000" w14:paraId="00000093">
      <w:pPr>
        <w:numPr>
          <w:ilvl w:val="0"/>
          <w:numId w:val="3"/>
        </w:numPr>
        <w:ind w:left="720" w:hanging="360"/>
        <w:rPr>
          <w:sz w:val="24"/>
          <w:szCs w:val="24"/>
        </w:rPr>
      </w:pPr>
      <w:r w:rsidDel="00000000" w:rsidR="00000000" w:rsidRPr="00000000">
        <w:rPr>
          <w:sz w:val="24"/>
          <w:szCs w:val="24"/>
          <w:rtl w:val="0"/>
        </w:rPr>
        <w:t xml:space="preserve">Need for dedicated sequencing effort moonshot to fill these gaps</w:t>
      </w:r>
    </w:p>
    <w:p w:rsidR="00000000" w:rsidDel="00000000" w:rsidP="00000000" w:rsidRDefault="00000000" w:rsidRPr="00000000" w14:paraId="00000094">
      <w:pPr>
        <w:numPr>
          <w:ilvl w:val="1"/>
          <w:numId w:val="3"/>
        </w:numPr>
        <w:ind w:left="1440" w:hanging="360"/>
        <w:rPr>
          <w:sz w:val="24"/>
          <w:szCs w:val="24"/>
        </w:rPr>
      </w:pPr>
      <w:r w:rsidDel="00000000" w:rsidR="00000000" w:rsidRPr="00000000">
        <w:rPr>
          <w:sz w:val="24"/>
          <w:szCs w:val="24"/>
          <w:rtl w:val="0"/>
        </w:rPr>
        <w:t xml:space="preserve">Key for critical strategies </w:t>
      </w:r>
    </w:p>
    <w:p w:rsidR="00000000" w:rsidDel="00000000" w:rsidP="00000000" w:rsidRDefault="00000000" w:rsidRPr="00000000" w14:paraId="00000095">
      <w:pPr>
        <w:numPr>
          <w:ilvl w:val="2"/>
          <w:numId w:val="3"/>
        </w:numPr>
        <w:ind w:left="2160" w:hanging="360"/>
        <w:rPr>
          <w:sz w:val="24"/>
          <w:szCs w:val="24"/>
        </w:rPr>
      </w:pPr>
      <w:r w:rsidDel="00000000" w:rsidR="00000000" w:rsidRPr="00000000">
        <w:rPr>
          <w:sz w:val="24"/>
          <w:szCs w:val="24"/>
          <w:rtl w:val="0"/>
        </w:rPr>
        <w:t xml:space="preserve">National Aquatic eDNA Strategy</w:t>
      </w:r>
    </w:p>
    <w:p w:rsidR="00000000" w:rsidDel="00000000" w:rsidP="00000000" w:rsidRDefault="00000000" w:rsidRPr="00000000" w14:paraId="00000096">
      <w:pPr>
        <w:numPr>
          <w:ilvl w:val="2"/>
          <w:numId w:val="3"/>
        </w:numPr>
        <w:ind w:left="2160" w:hanging="360"/>
        <w:rPr>
          <w:sz w:val="24"/>
          <w:szCs w:val="24"/>
        </w:rPr>
      </w:pPr>
      <w:r w:rsidDel="00000000" w:rsidR="00000000" w:rsidRPr="00000000">
        <w:rPr>
          <w:sz w:val="24"/>
          <w:szCs w:val="24"/>
          <w:rtl w:val="0"/>
        </w:rPr>
        <w:t xml:space="preserve">National Ocean Biodiversity Strategy</w:t>
      </w:r>
    </w:p>
    <w:p w:rsidR="00000000" w:rsidDel="00000000" w:rsidP="00000000" w:rsidRDefault="00000000" w:rsidRPr="00000000" w14:paraId="00000097">
      <w:pPr>
        <w:numPr>
          <w:ilvl w:val="1"/>
          <w:numId w:val="3"/>
        </w:numPr>
        <w:ind w:left="1440" w:hanging="360"/>
        <w:rPr>
          <w:sz w:val="24"/>
          <w:szCs w:val="24"/>
        </w:rPr>
      </w:pPr>
      <w:r w:rsidDel="00000000" w:rsidR="00000000" w:rsidRPr="00000000">
        <w:rPr>
          <w:sz w:val="24"/>
          <w:szCs w:val="24"/>
          <w:rtl w:val="0"/>
        </w:rPr>
        <w:t xml:space="preserve">Highlight dedicated efforts success and future upcoming efforts</w:t>
      </w:r>
    </w:p>
    <w:p w:rsidR="00000000" w:rsidDel="00000000" w:rsidP="00000000" w:rsidRDefault="00000000" w:rsidRPr="00000000" w14:paraId="00000098">
      <w:pPr>
        <w:numPr>
          <w:ilvl w:val="1"/>
          <w:numId w:val="3"/>
        </w:numPr>
        <w:ind w:left="1440" w:hanging="360"/>
        <w:rPr>
          <w:sz w:val="24"/>
          <w:szCs w:val="24"/>
          <w:u w:val="none"/>
        </w:rPr>
      </w:pPr>
      <w:r w:rsidDel="00000000" w:rsidR="00000000" w:rsidRPr="00000000">
        <w:rPr>
          <w:sz w:val="24"/>
          <w:szCs w:val="24"/>
          <w:rtl w:val="0"/>
        </w:rPr>
        <w:t xml:space="preserve">Support local, indigenous, regional, state, and national marine monitoring efforts</w:t>
      </w:r>
    </w:p>
    <w:p w:rsidR="00000000" w:rsidDel="00000000" w:rsidP="00000000" w:rsidRDefault="00000000" w:rsidRPr="00000000" w14:paraId="00000099">
      <w:pPr>
        <w:rPr>
          <w:sz w:val="24"/>
          <w:szCs w:val="24"/>
        </w:rPr>
      </w:pPr>
      <w:r w:rsidDel="00000000" w:rsidR="00000000" w:rsidRPr="00000000">
        <w:rPr>
          <w:rtl w:val="0"/>
        </w:rPr>
      </w:r>
    </w:p>
    <w:p w:rsidR="00000000" w:rsidDel="00000000" w:rsidP="00000000" w:rsidRDefault="00000000" w:rsidRPr="00000000" w14:paraId="0000009A">
      <w:pPr>
        <w:rPr>
          <w:sz w:val="24"/>
          <w:szCs w:val="24"/>
        </w:rPr>
      </w:pPr>
      <w:r w:rsidDel="00000000" w:rsidR="00000000" w:rsidRPr="00000000">
        <w:rPr>
          <w:rtl w:val="0"/>
        </w:rPr>
      </w:r>
    </w:p>
    <w:p w:rsidR="00000000" w:rsidDel="00000000" w:rsidP="00000000" w:rsidRDefault="00000000" w:rsidRPr="00000000" w14:paraId="0000009B">
      <w:pPr>
        <w:pStyle w:val="Heading1"/>
        <w:rPr>
          <w:sz w:val="24"/>
          <w:szCs w:val="24"/>
        </w:rPr>
      </w:pPr>
      <w:bookmarkStart w:colFirst="0" w:colLast="0" w:name="_98bgfejpjdgw" w:id="6"/>
      <w:bookmarkEnd w:id="6"/>
      <w:r w:rsidDel="00000000" w:rsidR="00000000" w:rsidRPr="00000000">
        <w:rPr>
          <w:sz w:val="24"/>
          <w:szCs w:val="24"/>
          <w:rtl w:val="0"/>
        </w:rPr>
        <w:t xml:space="preserve">References</w:t>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Zachary Gold - NOAA Federal" w:id="13" w:date="2024-10-15T04:56:24Z">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Need a good example here. Can even foreshadow from our list</w:t>
      </w:r>
    </w:p>
  </w:comment>
  <w:comment w:author="Zachary Gold - NOAA Federal" w:id="16" w:date="2024-10-15T06:31:24Z">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Check numbers</w:t>
      </w:r>
    </w:p>
  </w:comment>
  <w:comment w:author="Zachary Gold - NOAA Federal" w:id="4" w:date="2024-12-13T00:47:33Z">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@sean.mcallister@noaa.gov</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_Assigned to sean.mcallister@noaa.gov_</w:t>
      </w:r>
    </w:p>
  </w:comment>
  <w:comment w:author="Zachary Gold - NOAA Federal" w:id="5" w:date="2024-12-13T00:48:00Z">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@sean.mcallister@noaa.gov</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_Assigned to sean.mcallister@noaa.gov_</w:t>
      </w:r>
    </w:p>
  </w:comment>
  <w:comment w:author="Zachary Gold - NOAA Federal" w:id="7" w:date="2024-12-13T00:32:54Z">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@sean.mcallister@noaa.gov Channel Islands NPS only monitors a targeted subset so that's a good list to go off of. Clearly better performance than encountered species but even still there are species that have never been sequenced before.</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_Assigned to sean.mcallister@noaa.gov_</w:t>
      </w:r>
    </w:p>
  </w:comment>
  <w:comment w:author="Zachary Gold - NOAA Federal" w:id="0" w:date="2024-12-18T23:54:52Z">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beautify diagram</w:t>
      </w:r>
    </w:p>
  </w:comment>
  <w:comment w:author="Zachary Gold - NOAA Federal" w:id="17" w:date="2024-10-15T06:50:51Z">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would include CO1 and MiFish figures and throw the rest in the supplementary results</w:t>
      </w:r>
    </w:p>
  </w:comment>
  <w:comment w:author="Zachary Gold - NOAA Federal" w:id="8" w:date="2024-12-18T23:45:30Z">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Zack will make this</w:t>
      </w:r>
    </w:p>
  </w:comment>
  <w:comment w:author="Zachary Gold - NOAA Federal" w:id="9" w:date="2024-12-18T23:50:23Z">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tiel plot for halitois separate each species out. Include global list (Sean needs to make).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For stars - do pie chart tile plots for each genera</w:t>
      </w:r>
    </w:p>
  </w:comment>
  <w:comment w:author="Zachary Gold - NOAA Federal" w:id="11" w:date="2024-12-18T23:45:30Z">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Zack will make this</w:t>
      </w:r>
    </w:p>
  </w:comment>
  <w:comment w:author="Zachary Gold - NOAA Federal" w:id="12" w:date="2024-12-18T23:50:23Z">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tiel plot for halitois separate each species out. Include global list (Sean needs to make).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For stars - do pie chart tile plots for each genera</w:t>
      </w:r>
    </w:p>
  </w:comment>
  <w:comment w:author="Zachary Gold - NOAA Federal" w:id="3" w:date="2024-12-18T23:39:04Z">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@zachary.gold@noaa.gov look into the differences between surveys and stories between programs</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_Assigned to zachary.gold@noaa.gov_</w:t>
      </w:r>
    </w:p>
  </w:comment>
  <w:comment w:author="Zachary Gold - NOAA Federal" w:id="18" w:date="2024-10-15T06:59:04Z">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Would really be nice if this was true. Maybe can run this on the latest versions to beef ourselves up?</w:t>
      </w:r>
    </w:p>
  </w:comment>
  <w:comment w:author="Zachary Gold - NOAA Federal" w:id="14" w:date="2024-10-15T06:08:53Z">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Not sure if we want a map of where all the groups survey - might be a lot of work, but that could be figure 1</w:t>
      </w:r>
    </w:p>
  </w:comment>
  <w:comment w:author="Zachary Gold - NOAA Federal" w:id="2" w:date="2024-12-13T00:47:51Z">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@zachary.gold@noaa.gov</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_Assigned to zachary.gold@noaa.gov_</w:t>
      </w:r>
    </w:p>
  </w:comment>
  <w:comment w:author="Zachary Gold - NOAA Federal" w:id="1" w:date="2024-12-13T00:48:20Z">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@sean.mcallister@noaa.gov let me know what you think</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_Assigned to sean.mcallister@noaa.gov_</w:t>
      </w:r>
    </w:p>
  </w:comment>
  <w:comment w:author="Sean McAllister - NOAA Affiliate" w:id="6" w:date="2024-12-18T23:39:45Z">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Can add the new rCRUX fish databases to these figures</w:t>
      </w:r>
    </w:p>
  </w:comment>
  <w:comment w:author="Sean McAllister - NOAA Affiliate" w:id="10" w:date="2024-12-18T23:47:36Z">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Sean to target both of these for the genera analyses</w:t>
      </w:r>
    </w:p>
  </w:comment>
  <w:comment w:author="Zachary Gold - NOAA Federal" w:id="15" w:date="2024-10-15T06:15:09Z">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@sean.mcallister@noaa.gov just a placeholder for your detailed information here</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_Assigned to sean.mcallister@noaa.gov_</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Pr>
    <w:rPr>
      <w:b w:val="1"/>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Pr>
    <w:rPr>
      <w:b w:val="1"/>
      <w:sz w:val="28"/>
      <w:szCs w:val="28"/>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pPr/>
    <w:rPr/>
    <w:tblPr>
      <w:tblStyleRowBandSize w:val="1"/>
      <w:tblStyleColBandSize w:val="1"/>
      <w:tblCellMar>
        <w:top w:w="100.0" w:type="dxa"/>
        <w:left w:w="100.0" w:type="dxa"/>
        <w:bottom w:w="100.0" w:type="dxa"/>
        <w:right w:w="100.0" w:type="dxa"/>
      </w:tblCellMar>
    </w:tblPr>
    <w:tblStylePr w:type="band1Horz">
      <w:pPr/>
      <w:rPr/>
      <w:tcPr/>
    </w:tblStylePr>
    <w:tblStylePr w:type="band1Vert">
      <w:pPr/>
      <w:rPr/>
      <w:tcPr/>
    </w:tblStylePr>
    <w:tblStylePr w:type="band2Horz">
      <w:pPr/>
      <w:rPr/>
      <w:tcPr/>
    </w:tblStylePr>
    <w:tblStylePr w:type="band2Vert">
      <w:pPr/>
      <w:rPr/>
      <w:tcPr/>
    </w:tblStylePr>
    <w:tblStylePr w:type="firstCol">
      <w:pPr/>
      <w:rPr/>
      <w:tcPr/>
    </w:tblStylePr>
    <w:tblStylePr w:type="firstRow">
      <w:pPr/>
      <w:rPr/>
      <w:tcPr/>
    </w:tblStylePr>
    <w:tblStylePr w:type="lastCol">
      <w:pPr/>
      <w:rPr/>
      <w:tcPr/>
    </w:tblStylePr>
    <w:tblStylePr w:type="lastRow">
      <w:pPr/>
      <w:rPr/>
      <w:tcPr/>
    </w:tblStylePr>
    <w:tblStylePr w:type="neCell">
      <w:pPr/>
      <w:rPr/>
      <w:tcPr/>
    </w:tblStylePr>
    <w:tblStylePr w:type="nwCell">
      <w:pPr/>
      <w:rPr/>
      <w:tcPr/>
    </w:tblStylePr>
    <w:tblStylePr w:type="seCell">
      <w:pPr/>
      <w:rPr/>
      <w:tcPr/>
    </w:tblStylePr>
    <w:tblStylePr w:type="swCell">
      <w:pPr/>
      <w:rPr/>
      <w:tcPr/>
    </w:tblStylePr>
  </w:style>
  <w:style w:type="table" w:styleId="Table2">
    <w:basedOn w:val="TableNormal"/>
    <w:pPr/>
    <w:rPr/>
    <w:tblPr>
      <w:tblStyleRowBandSize w:val="1"/>
      <w:tblStyleColBandSize w:val="1"/>
      <w:tblCellMar>
        <w:top w:w="100.0" w:type="dxa"/>
        <w:left w:w="100.0" w:type="dxa"/>
        <w:bottom w:w="100.0" w:type="dxa"/>
        <w:right w:w="100.0" w:type="dxa"/>
      </w:tblCellMar>
    </w:tblPr>
    <w:tblStylePr w:type="band1Horz">
      <w:pPr/>
      <w:rPr/>
      <w:tcPr/>
    </w:tblStylePr>
    <w:tblStylePr w:type="band1Vert">
      <w:pPr/>
      <w:rPr/>
      <w:tcPr/>
    </w:tblStylePr>
    <w:tblStylePr w:type="band2Horz">
      <w:pPr/>
      <w:rPr/>
      <w:tcPr/>
    </w:tblStylePr>
    <w:tblStylePr w:type="band2Vert">
      <w:pPr/>
      <w:rPr/>
      <w:tcPr/>
    </w:tblStylePr>
    <w:tblStylePr w:type="firstCol">
      <w:pPr/>
      <w:rPr/>
      <w:tcPr/>
    </w:tblStylePr>
    <w:tblStylePr w:type="firstRow">
      <w:pPr/>
      <w:rPr/>
      <w:tcPr/>
    </w:tblStylePr>
    <w:tblStylePr w:type="lastCol">
      <w:pPr/>
      <w:rPr/>
      <w:tcPr/>
    </w:tblStylePr>
    <w:tblStylePr w:type="lastRow">
      <w:pPr/>
      <w:rPr/>
      <w:tcPr/>
    </w:tblStylePr>
    <w:tblStylePr w:type="neCell">
      <w:pPr/>
      <w:rPr/>
      <w:tcPr/>
    </w:tblStylePr>
    <w:tblStylePr w:type="nwCell">
      <w:pPr/>
      <w:rPr/>
      <w:tcPr/>
    </w:tblStylePr>
    <w:tblStylePr w:type="seCell">
      <w:pPr/>
      <w:rPr/>
      <w:tcPr/>
    </w:tblStylePr>
    <w:tblStylePr w:type="swCell">
      <w:pPr/>
      <w:rPr/>
      <w:tcPr/>
    </w:tblStylePr>
  </w:style>
</w:styles>
</file>

<file path=word/_rels/document.xml.rels><?xml version="1.0" encoding="UTF-8" standalone="yes"?><Relationships xmlns="http://schemas.openxmlformats.org/package/2006/relationships"><Relationship Id="rId11" Type="http://schemas.openxmlformats.org/officeDocument/2006/relationships/hyperlink" Target="https://docs.google.com/spreadsheets/d/1yd0FTOWmvh7bH1jHYGLIAdlmPP6nvk62ANU8eWCnORk/edit?gid=2058056895#gid=2058056895" TargetMode="External"/><Relationship Id="rId10" Type="http://schemas.openxmlformats.org/officeDocument/2006/relationships/image" Target="media/image1.png"/><Relationship Id="rId13" Type="http://schemas.openxmlformats.org/officeDocument/2006/relationships/image" Target="media/image2.png"/><Relationship Id="rId12" Type="http://schemas.openxmlformats.org/officeDocument/2006/relationships/hyperlink" Target="https://www.sciencedirect.com/science/article/pii/S0048969719317760"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4.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3.jpg"/><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