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Rapport technique</w:t>
      </w:r>
    </w:p>
    <w:p>
      <w:pPr>
        <w:jc w:val="center"/>
      </w:pPr>
      <w:r>
        <w:rPr>
          <w:color w:val="374151"/>
          <w:sz w:val="36"/>
        </w:rPr>
        <w:t>POC Agent IA de Triage Médical</w:t>
      </w:r>
    </w:p>
    <w:p/>
    <w:p>
      <w:pPr>
        <w:jc w:val="center"/>
      </w:pPr>
      <w:r>
        <w:rPr>
          <w:b/>
          <w:sz w:val="28"/>
        </w:rPr>
        <w:t>Centre Hospitalier Saint-Aurélien (CHSA)</w:t>
      </w:r>
    </w:p>
    <w:p/>
    <w:p/>
    <w:p>
      <w:pPr>
        <w:jc w:val="center"/>
      </w:pPr>
      <w:r>
        <w:rPr>
          <w:b/>
        </w:rPr>
        <w:t xml:space="preserve">Mission : </w:t>
      </w:r>
      <w:r>
        <w:t>Développement d'un agent IA de triage médical (POC 4 semaines)</w:t>
      </w:r>
    </w:p>
    <w:p>
      <w:pPr>
        <w:jc w:val="center"/>
      </w:pPr>
      <w:r>
        <w:rPr>
          <w:b/>
        </w:rPr>
        <w:t xml:space="preserve">Commanditaire : </w:t>
      </w:r>
      <w:r>
        <w:t>Dr. Marie Dubois — Directrice Innovation Médicale</w:t>
      </w:r>
    </w:p>
    <w:p>
      <w:pPr>
        <w:jc w:val="center"/>
      </w:pPr>
      <w:r>
        <w:rPr>
          <w:b/>
        </w:rPr>
        <w:t xml:space="preserve">Auteur : </w:t>
      </w:r>
      <w:r>
        <w:t>Marin Tosti — IA Engineer junior</w:t>
      </w:r>
    </w:p>
    <w:p>
      <w:pPr>
        <w:jc w:val="center"/>
      </w:pPr>
      <w:r>
        <w:rPr>
          <w:b/>
        </w:rPr>
        <w:t xml:space="preserve">Date : </w:t>
      </w:r>
      <w:r>
        <w:t>Avril 2026</w:t>
      </w:r>
    </w:p>
    <w:p>
      <w:pPr>
        <w:jc w:val="center"/>
      </w:pPr>
      <w:r>
        <w:rPr>
          <w:b/>
        </w:rPr>
        <w:t xml:space="preserve">Version : </w:t>
      </w:r>
      <w:r>
        <w:t>1.0</w:t>
      </w:r>
    </w:p>
    <w:p>
      <w:r>
        <w:br w:type="page"/>
      </w:r>
    </w:p>
    <w:p>
      <w:pPr>
        <w:pStyle w:val="Heading1"/>
      </w:pPr>
      <w:r>
        <w:rPr>
          <w:color w:val="1F2937"/>
        </w:rPr>
        <w:t>Sommaire</w:t>
      </w:r>
    </w:p>
    <w:p>
      <w:r>
        <w:t>1. Contexte et objectifs</w:t>
      </w:r>
    </w:p>
    <w:p>
      <w:r>
        <w:t>2. Architecture technique</w:t>
      </w:r>
    </w:p>
    <w:p>
      <w:r>
        <w:t>3. Préparation des données (Semaine 1)</w:t>
      </w:r>
    </w:p>
    <w:p>
      <w:r>
        <w:t>4. Fine-tuning supervisé SFT + LoRA (Semaine 2)</w:t>
      </w:r>
    </w:p>
    <w:p>
      <w:r>
        <w:t>5. Alignement par préférences DPO (Semaine 3)</w:t>
      </w:r>
    </w:p>
    <w:p>
      <w:r>
        <w:t>6. Déploiement et API (Semaine 4)</w:t>
      </w:r>
    </w:p>
    <w:p>
      <w:r>
        <w:t>7. Évaluation et métriques</w:t>
      </w:r>
    </w:p>
    <w:p>
      <w:r>
        <w:t>8. Analyse des résultats et limitations</w:t>
      </w:r>
    </w:p>
    <w:p>
      <w:r>
        <w:t>9. Recommandations et roadmap Phase 3</w:t>
      </w:r>
    </w:p>
    <w:p>
      <w:r>
        <w:t>10. Annexes</w:t>
      </w:r>
    </w:p>
    <w:p>
      <w:r>
        <w:br w:type="page"/>
      </w:r>
    </w:p>
    <w:p>
      <w:pPr>
        <w:pStyle w:val="Heading1"/>
      </w:pPr>
      <w:r>
        <w:rPr>
          <w:color w:val="1F2937"/>
        </w:rPr>
        <w:t>1. Contexte et objectifs</w:t>
      </w:r>
    </w:p>
    <w:p>
      <w:pPr>
        <w:pStyle w:val="Heading2"/>
      </w:pPr>
      <w:r>
        <w:rPr>
          <w:color w:val="1F2937"/>
        </w:rPr>
        <w:t>1.1 Problématique clinique</w:t>
      </w:r>
    </w:p>
    <w:p>
      <w:r>
        <w:rPr>
          <w:b w:val="0"/>
          <w:i w:val="0"/>
          <w:sz w:val="22"/>
        </w:rPr>
        <w:t>Le service des urgences du CHSA fait face à une surcharge structurelle aux heures de pointe, avec des effectifs infirmiers parfois insuffisants pour assurer un triage initial optimal. Cette situation entraîne :</w:t>
      </w:r>
    </w:p>
    <w:p>
      <w:pPr>
        <w:pStyle w:val="ListBullet"/>
        <w:ind w:left="340"/>
      </w:pPr>
      <w:r>
        <w:t>Des temps d'attente prolongés pour l'ensemble des patients</w:t>
      </w:r>
    </w:p>
    <w:p>
      <w:pPr>
        <w:pStyle w:val="ListBullet"/>
        <w:ind w:left="340"/>
      </w:pPr>
      <w:r>
        <w:t>Un risque de sous-priorisation de cas cliniquement critiques</w:t>
      </w:r>
    </w:p>
    <w:p>
      <w:pPr>
        <w:pStyle w:val="ListBullet"/>
        <w:ind w:left="340"/>
      </w:pPr>
      <w:r>
        <w:t>Une charge cognitive accrue pour le personnel soignant</w:t>
      </w:r>
    </w:p>
    <w:p>
      <w:pPr>
        <w:pStyle w:val="Heading2"/>
      </w:pPr>
      <w:r>
        <w:rPr>
          <w:color w:val="1F2937"/>
        </w:rPr>
        <w:t>1.2 Solution proposée</w:t>
      </w:r>
    </w:p>
    <w:p>
      <w:r>
        <w:rPr>
          <w:b w:val="0"/>
          <w:i w:val="0"/>
          <w:sz w:val="22"/>
        </w:rPr>
        <w:t>Un agent conversationnel intelligent basé sur un modèle de langage spécialisé, chargé d'assister — et non de remplacer — le personnel soignant dans le triage initial. L'agent :</w:t>
      </w:r>
    </w:p>
    <w:p>
      <w:pPr>
        <w:pStyle w:val="ListNumber"/>
        <w:ind w:left="340"/>
      </w:pPr>
      <w:r>
        <w:t>Collecte les symptômes du patient via un questionnaire adaptatif</w:t>
      </w:r>
    </w:p>
    <w:p>
      <w:pPr>
        <w:pStyle w:val="ListNumber"/>
        <w:ind w:left="340"/>
      </w:pPr>
      <w:r>
        <w:t>Évalue un niveau de priorité (P1 / P2 / P3) selon les protocoles médicaux</w:t>
      </w:r>
    </w:p>
    <w:p>
      <w:pPr>
        <w:pStyle w:val="ListNumber"/>
        <w:ind w:left="340"/>
      </w:pPr>
      <w:r>
        <w:t>Fournit des explications cliniques et des recommandations de prise en charge</w:t>
      </w:r>
    </w:p>
    <w:p>
      <w:pPr>
        <w:pStyle w:val="ListNumber"/>
        <w:ind w:left="340"/>
      </w:pPr>
      <w:r>
        <w:t>Garantit la traçabilité de chaque interaction (audit médical + conformité RGPD)</w:t>
      </w:r>
    </w:p>
    <w:p>
      <w:pPr>
        <w:pStyle w:val="Heading2"/>
      </w:pPr>
      <w:r>
        <w:rPr>
          <w:color w:val="1F2937"/>
        </w:rPr>
        <w:t>1.3 Stratégie en trois phases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/>
            <w:r>
              <w:rPr>
                <w:b/>
              </w:rPr>
              <w:t>Phase</w:t>
            </w:r>
          </w:p>
        </w:tc>
        <w:tc>
          <w:tcPr>
            <w:tcW w:type="dxa" w:w="2436"/>
          </w:tcPr>
          <w:p>
            <w:r/>
            <w:r>
              <w:rPr>
                <w:b/>
              </w:rPr>
              <w:t>Objectif</w:t>
            </w:r>
          </w:p>
        </w:tc>
        <w:tc>
          <w:tcPr>
            <w:tcW w:type="dxa" w:w="2436"/>
          </w:tcPr>
          <w:p>
            <w:r/>
            <w:r>
              <w:rPr>
                <w:b/>
              </w:rPr>
              <w:t>Modèle</w:t>
            </w:r>
          </w:p>
        </w:tc>
        <w:tc>
          <w:tcPr>
            <w:tcW w:type="dxa" w:w="2436"/>
          </w:tcPr>
          <w:p>
            <w:r/>
            <w:r>
              <w:rPr>
                <w:b/>
              </w:rPr>
              <w:t>Statut POC</w:t>
            </w:r>
          </w:p>
        </w:tc>
      </w:tr>
      <w:tr>
        <w:tc>
          <w:tcPr>
            <w:tcW w:type="dxa" w:w="2436"/>
          </w:tcPr>
          <w:p>
            <w:r>
              <w:t>1. Validation conceptuelle</w:t>
            </w:r>
          </w:p>
        </w:tc>
        <w:tc>
          <w:tcPr>
            <w:tcW w:type="dxa" w:w="2436"/>
          </w:tcPr>
          <w:p>
            <w:r>
              <w:t>Démontrer la faisabilité technique</w:t>
            </w:r>
          </w:p>
        </w:tc>
        <w:tc>
          <w:tcPr>
            <w:tcW w:type="dxa" w:w="2436"/>
          </w:tcPr>
          <w:p>
            <w:r>
              <w:t>Qwen3-1.7B-Base</w:t>
            </w:r>
          </w:p>
        </w:tc>
        <w:tc>
          <w:tcPr>
            <w:tcW w:type="dxa" w:w="2436"/>
          </w:tcPr>
          <w:p>
            <w:r>
              <w:t>Livrable actuel</w:t>
            </w:r>
          </w:p>
        </w:tc>
      </w:tr>
      <w:tr>
        <w:tc>
          <w:tcPr>
            <w:tcW w:type="dxa" w:w="2436"/>
          </w:tcPr>
          <w:p>
            <w:r>
              <w:t>2. Optimisation ciblée</w:t>
            </w:r>
          </w:p>
        </w:tc>
        <w:tc>
          <w:tcPr>
            <w:tcW w:type="dxa" w:w="2436"/>
          </w:tcPr>
          <w:p>
            <w:r>
              <w:t>Adapter au domaine via SFT + DPO</w:t>
            </w:r>
          </w:p>
        </w:tc>
        <w:tc>
          <w:tcPr>
            <w:tcW w:type="dxa" w:w="2436"/>
          </w:tcPr>
          <w:p>
            <w:r>
              <w:t>Qwen3-1.7B-Base + LoRA</w:t>
            </w:r>
          </w:p>
        </w:tc>
        <w:tc>
          <w:tcPr>
            <w:tcW w:type="dxa" w:w="2436"/>
          </w:tcPr>
          <w:p>
            <w:r>
              <w:t>Livrable actuel</w:t>
            </w:r>
          </w:p>
        </w:tc>
      </w:tr>
      <w:tr>
        <w:tc>
          <w:tcPr>
            <w:tcW w:type="dxa" w:w="2436"/>
          </w:tcPr>
          <w:p>
            <w:r>
              <w:t>3. Industrialisation</w:t>
            </w:r>
          </w:p>
        </w:tc>
        <w:tc>
          <w:tcPr>
            <w:tcW w:type="dxa" w:w="2436"/>
          </w:tcPr>
          <w:p>
            <w:r>
              <w:t>Passage à l'échelle clinique</w:t>
            </w:r>
          </w:p>
        </w:tc>
        <w:tc>
          <w:tcPr>
            <w:tcW w:type="dxa" w:w="2436"/>
          </w:tcPr>
          <w:p>
            <w:r>
              <w:t>32B+ paramètres, multi-site</w:t>
            </w:r>
          </w:p>
        </w:tc>
        <w:tc>
          <w:tcPr>
            <w:tcW w:type="dxa" w:w="2436"/>
          </w:tcPr>
          <w:p>
            <w:r>
              <w:t>Roadmap</w:t>
            </w:r>
          </w:p>
        </w:tc>
      </w:tr>
    </w:tbl>
    <w:p>
      <w:r>
        <w:rPr>
          <w:b w:val="0"/>
          <w:i w:val="0"/>
          <w:sz w:val="22"/>
        </w:rPr>
      </w:r>
    </w:p>
    <w:p>
      <w:r>
        <w:rPr>
          <w:b w:val="0"/>
          <w:i/>
          <w:sz w:val="22"/>
        </w:rPr>
        <w:t>Le présent rapport couvre les Phases 1 et 2 (POC 4 semaines).</w:t>
      </w:r>
    </w:p>
    <w:p>
      <w:r>
        <w:br w:type="page"/>
      </w:r>
    </w:p>
    <w:p>
      <w:pPr>
        <w:pStyle w:val="Heading1"/>
      </w:pPr>
      <w:r>
        <w:rPr>
          <w:color w:val="1F2937"/>
        </w:rPr>
        <w:t>2. Architecture technique</w:t>
      </w:r>
    </w:p>
    <w:p>
      <w:pPr>
        <w:pStyle w:val="Heading2"/>
      </w:pPr>
      <w:r>
        <w:rPr>
          <w:color w:val="1F2937"/>
        </w:rPr>
        <w:t>2.1 Vue d'ensemble du pipeline</w:t>
      </w:r>
    </w:p>
    <w:p>
      <w:r>
        <w:rPr>
          <w:b w:val="0"/>
          <w:i w:val="0"/>
          <w:sz w:val="22"/>
        </w:rPr>
        <w:t>Le pipeline s'organise en cinq étapes séquentielles : agrégation de corpus médicaux publics, anonymisation RGPD, fine-tuning supervisé (SFT) avec LoRA, alignement par préférences (DPO), puis déploiement via API FastAPI + vLLM.</w:t>
      </w:r>
    </w:p>
    <w:p>
      <w:r>
        <w:rPr>
          <w:b w:val="0"/>
          <w:i w:val="0"/>
          <w:sz w:val="22"/>
        </w:rPr>
      </w:r>
    </w:p>
    <w:p>
      <w:pPr>
        <w:pStyle w:val="ListBullet"/>
        <w:ind w:left="340"/>
      </w:pPr>
      <w:r>
        <w:t>Corpus publics : MediQAl, FrenchMedMCQA, MedQuAD, UltraMedical-Preference</w:t>
      </w:r>
    </w:p>
    <w:p>
      <w:pPr>
        <w:pStyle w:val="ListBullet"/>
        <w:ind w:left="340"/>
      </w:pPr>
      <w:r>
        <w:t>Anonymisation : Presidio + Faker + whitelist médicale (conformité RGPD art. 4(5))</w:t>
      </w:r>
    </w:p>
    <w:p>
      <w:pPr>
        <w:pStyle w:val="ListBullet"/>
        <w:ind w:left="340"/>
      </w:pPr>
      <w:r>
        <w:t>Entraînement : Qwen3-1.7B-Base + LoRA (r=32) sur 5 000 paires médicales</w:t>
      </w:r>
    </w:p>
    <w:p>
      <w:pPr>
        <w:pStyle w:val="ListBullet"/>
        <w:ind w:left="340"/>
      </w:pPr>
      <w:r>
        <w:t>Alignement : DPO sur 15 000 paires chosen/rejected du dataset UltraMedical</w:t>
      </w:r>
    </w:p>
    <w:p>
      <w:pPr>
        <w:pStyle w:val="ListBullet"/>
        <w:ind w:left="340"/>
      </w:pPr>
      <w:r>
        <w:t>Déploiement : modèle mergé publié sur HuggingFace Hub, servi via vLLM + FastAPI</w:t>
      </w:r>
    </w:p>
    <w:p>
      <w:pPr>
        <w:pStyle w:val="ListBullet"/>
        <w:ind w:left="340"/>
      </w:pPr>
      <w:r>
        <w:t>Traçabilité : audit log de chaque interaction (conformité RGPD)</w:t>
      </w:r>
    </w:p>
    <w:p>
      <w:pPr>
        <w:pStyle w:val="Heading2"/>
      </w:pPr>
      <w:r>
        <w:rPr>
          <w:color w:val="1F2937"/>
        </w:rPr>
        <w:t>2.2 Stack technique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b/>
              </w:rPr>
              <w:t>Composant</w:t>
            </w:r>
          </w:p>
        </w:tc>
        <w:tc>
          <w:tcPr>
            <w:tcW w:type="dxa" w:w="3249"/>
          </w:tcPr>
          <w:p>
            <w:r/>
            <w:r>
              <w:rPr>
                <w:b/>
              </w:rPr>
              <w:t>Technologie</w:t>
            </w:r>
          </w:p>
        </w:tc>
        <w:tc>
          <w:tcPr>
            <w:tcW w:type="dxa" w:w="3249"/>
          </w:tcPr>
          <w:p>
            <w:r/>
            <w:r>
              <w:rPr>
                <w:b/>
              </w:rPr>
              <w:t>Justification</w:t>
            </w:r>
          </w:p>
        </w:tc>
      </w:tr>
      <w:tr>
        <w:tc>
          <w:tcPr>
            <w:tcW w:type="dxa" w:w="3249"/>
          </w:tcPr>
          <w:p>
            <w:r>
              <w:t>Modèle de base</w:t>
            </w:r>
          </w:p>
        </w:tc>
        <w:tc>
          <w:tcPr>
            <w:tcW w:type="dxa" w:w="3249"/>
          </w:tcPr>
          <w:p>
            <w:r>
              <w:t>Qwen/Qwen3-1.7B-Base</w:t>
            </w:r>
          </w:p>
        </w:tc>
        <w:tc>
          <w:tcPr>
            <w:tcW w:type="dxa" w:w="3249"/>
          </w:tcPr>
          <w:p>
            <w:r>
              <w:t>Compact, multilingue (FR/EN), licence permissive</w:t>
            </w:r>
          </w:p>
        </w:tc>
      </w:tr>
      <w:tr>
        <w:tc>
          <w:tcPr>
            <w:tcW w:type="dxa" w:w="3249"/>
          </w:tcPr>
          <w:p>
            <w:r>
              <w:t>Fine-tuning</w:t>
            </w:r>
          </w:p>
        </w:tc>
        <w:tc>
          <w:tcPr>
            <w:tcW w:type="dxa" w:w="3249"/>
          </w:tcPr>
          <w:p>
            <w:r>
              <w:t>transformers + peft (LoRA)</w:t>
            </w:r>
          </w:p>
        </w:tc>
        <w:tc>
          <w:tcPr>
            <w:tcW w:type="dxa" w:w="3249"/>
          </w:tcPr>
          <w:p>
            <w:r>
              <w:t>Standard industrie, efficace en VRAM</w:t>
            </w:r>
          </w:p>
        </w:tc>
      </w:tr>
      <w:tr>
        <w:tc>
          <w:tcPr>
            <w:tcW w:type="dxa" w:w="3249"/>
          </w:tcPr>
          <w:p>
            <w:r>
              <w:t>Alignement</w:t>
            </w:r>
          </w:p>
        </w:tc>
        <w:tc>
          <w:tcPr>
            <w:tcW w:type="dxa" w:w="3249"/>
          </w:tcPr>
          <w:p>
            <w:r>
              <w:t>trl DPOTrainer</w:t>
            </w:r>
          </w:p>
        </w:tc>
        <w:tc>
          <w:tcPr>
            <w:tcW w:type="dxa" w:w="3249"/>
          </w:tcPr>
          <w:p>
            <w:r>
              <w:t>Pas de reward model à entraîner (vs RLHF)</w:t>
            </w:r>
          </w:p>
        </w:tc>
      </w:tr>
      <w:tr>
        <w:tc>
          <w:tcPr>
            <w:tcW w:type="dxa" w:w="3249"/>
          </w:tcPr>
          <w:p>
            <w:r>
              <w:t>Anonymisation</w:t>
            </w:r>
          </w:p>
        </w:tc>
        <w:tc>
          <w:tcPr>
            <w:tcW w:type="dxa" w:w="3249"/>
          </w:tcPr>
          <w:p>
            <w:r>
              <w:t>Microsoft Presidio + Faker</w:t>
            </w:r>
          </w:p>
        </w:tc>
        <w:tc>
          <w:tcPr>
            <w:tcW w:type="dxa" w:w="3249"/>
          </w:tcPr>
          <w:p>
            <w:r>
              <w:t>Pseudo-anonymisation conforme RGPD art. 4(5)</w:t>
            </w:r>
          </w:p>
        </w:tc>
      </w:tr>
      <w:tr>
        <w:tc>
          <w:tcPr>
            <w:tcW w:type="dxa" w:w="3249"/>
          </w:tcPr>
          <w:p>
            <w:r>
              <w:t>Inférence</w:t>
            </w:r>
          </w:p>
        </w:tc>
        <w:tc>
          <w:tcPr>
            <w:tcW w:type="dxa" w:w="3249"/>
          </w:tcPr>
          <w:p>
            <w:r>
              <w:t>vLLM 0.6.x / transformers</w:t>
            </w:r>
          </w:p>
        </w:tc>
        <w:tc>
          <w:tcPr>
            <w:tcW w:type="dxa" w:w="3249"/>
          </w:tcPr>
          <w:p>
            <w:r>
              <w:t>PagedAttention + continuous batching</w:t>
            </w:r>
          </w:p>
        </w:tc>
      </w:tr>
      <w:tr>
        <w:tc>
          <w:tcPr>
            <w:tcW w:type="dxa" w:w="3249"/>
          </w:tcPr>
          <w:p>
            <w:r>
              <w:t>API</w:t>
            </w:r>
          </w:p>
        </w:tc>
        <w:tc>
          <w:tcPr>
            <w:tcW w:type="dxa" w:w="3249"/>
          </w:tcPr>
          <w:p>
            <w:r>
              <w:t>FastAPI</w:t>
            </w:r>
          </w:p>
        </w:tc>
        <w:tc>
          <w:tcPr>
            <w:tcW w:type="dxa" w:w="3249"/>
          </w:tcPr>
          <w:p>
            <w:r>
              <w:t>Async, documentation OpenAPI automatique</w:t>
            </w:r>
          </w:p>
        </w:tc>
      </w:tr>
      <w:tr>
        <w:tc>
          <w:tcPr>
            <w:tcW w:type="dxa" w:w="3249"/>
          </w:tcPr>
          <w:p>
            <w:r>
              <w:t>Orchestration</w:t>
            </w:r>
          </w:p>
        </w:tc>
        <w:tc>
          <w:tcPr>
            <w:tcW w:type="dxa" w:w="3249"/>
          </w:tcPr>
          <w:p>
            <w:r>
              <w:t>Docker + Poetry</w:t>
            </w:r>
          </w:p>
        </w:tc>
        <w:tc>
          <w:tcPr>
            <w:tcW w:type="dxa" w:w="3249"/>
          </w:tcPr>
          <w:p>
            <w:r>
              <w:t>Reproductibilité</w:t>
            </w:r>
          </w:p>
        </w:tc>
      </w:tr>
      <w:tr>
        <w:tc>
          <w:tcPr>
            <w:tcW w:type="dxa" w:w="3249"/>
          </w:tcPr>
          <w:p>
            <w:r>
              <w:t>CI/CD</w:t>
            </w:r>
          </w:p>
        </w:tc>
        <w:tc>
          <w:tcPr>
            <w:tcW w:type="dxa" w:w="3249"/>
          </w:tcPr>
          <w:p>
            <w:r>
              <w:t>GitHub Actions</w:t>
            </w:r>
          </w:p>
        </w:tc>
        <w:tc>
          <w:tcPr>
            <w:tcW w:type="dxa" w:w="3249"/>
          </w:tcPr>
          <w:p>
            <w:r>
              <w:t>Tests automatiques + build Docker</w:t>
            </w:r>
          </w:p>
        </w:tc>
      </w:tr>
      <w:tr>
        <w:tc>
          <w:tcPr>
            <w:tcW w:type="dxa" w:w="3249"/>
          </w:tcPr>
          <w:p>
            <w:r>
              <w:t>Hosting</w:t>
            </w:r>
          </w:p>
        </w:tc>
        <w:tc>
          <w:tcPr>
            <w:tcW w:type="dxa" w:w="3249"/>
          </w:tcPr>
          <w:p>
            <w:r>
              <w:t>HuggingFace Spaces (GPU)</w:t>
            </w:r>
          </w:p>
        </w:tc>
        <w:tc>
          <w:tcPr>
            <w:tcW w:type="dxa" w:w="3249"/>
          </w:tcPr>
          <w:p>
            <w:r>
              <w:t>Déploiement rapide pour POC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2937"/>
        </w:rPr>
        <w:t>3. Préparation des données (Semaine 1)</w:t>
      </w:r>
    </w:p>
    <w:p>
      <w:pPr>
        <w:pStyle w:val="Heading2"/>
      </w:pPr>
      <w:r>
        <w:rPr>
          <w:color w:val="1F2937"/>
        </w:rPr>
        <w:t>3.1 Sources</w:t>
      </w:r>
    </w:p>
    <w:p>
      <w:r>
        <w:rPr>
          <w:b w:val="0"/>
          <w:i w:val="0"/>
          <w:sz w:val="22"/>
        </w:rPr>
        <w:t>Quatre corpus médicaux publics ont été agrégés pour constituer un dataset bilingue francophone et anglophone 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/>
            <w:r>
              <w:rPr>
                <w:b/>
              </w:rPr>
              <w:t>Dataset</w:t>
            </w:r>
          </w:p>
        </w:tc>
        <w:tc>
          <w:tcPr>
            <w:tcW w:type="dxa" w:w="2436"/>
          </w:tcPr>
          <w:p>
            <w:r/>
            <w:r>
              <w:rPr>
                <w:b/>
              </w:rPr>
              <w:t>Langue</w:t>
            </w:r>
          </w:p>
        </w:tc>
        <w:tc>
          <w:tcPr>
            <w:tcW w:type="dxa" w:w="2436"/>
          </w:tcPr>
          <w:p>
            <w:r/>
            <w:r>
              <w:rPr>
                <w:b/>
              </w:rPr>
              <w:t>Type</w:t>
            </w:r>
          </w:p>
        </w:tc>
        <w:tc>
          <w:tcPr>
            <w:tcW w:type="dxa" w:w="2436"/>
          </w:tcPr>
          <w:p>
            <w:r/>
            <w:r>
              <w:rPr>
                <w:b/>
              </w:rPr>
              <w:t>Volume brut</w:t>
            </w:r>
          </w:p>
        </w:tc>
      </w:tr>
      <w:tr>
        <w:tc>
          <w:tcPr>
            <w:tcW w:type="dxa" w:w="2436"/>
          </w:tcPr>
          <w:p>
            <w:r>
              <w:t>MediQAl (ANR-MALADES)</w:t>
            </w:r>
          </w:p>
        </w:tc>
        <w:tc>
          <w:tcPr>
            <w:tcW w:type="dxa" w:w="2436"/>
          </w:tcPr>
          <w:p>
            <w:r>
              <w:t>FR</w:t>
            </w:r>
          </w:p>
        </w:tc>
        <w:tc>
          <w:tcPr>
            <w:tcW w:type="dxa" w:w="2436"/>
          </w:tcPr>
          <w:p>
            <w:r>
              <w:t>QCM médicaux (oeq, mcqu, mcqm)</w:t>
            </w:r>
          </w:p>
        </w:tc>
        <w:tc>
          <w:tcPr>
            <w:tcW w:type="dxa" w:w="2436"/>
          </w:tcPr>
          <w:p>
            <w:r>
              <w:t>~50 000</w:t>
            </w:r>
          </w:p>
        </w:tc>
      </w:tr>
      <w:tr>
        <w:tc>
          <w:tcPr>
            <w:tcW w:type="dxa" w:w="2436"/>
          </w:tcPr>
          <w:p>
            <w:r>
              <w:t>FrenchMedMCQA</w:t>
            </w:r>
          </w:p>
        </w:tc>
        <w:tc>
          <w:tcPr>
            <w:tcW w:type="dxa" w:w="2436"/>
          </w:tcPr>
          <w:p>
            <w:r>
              <w:t>FR</w:t>
            </w:r>
          </w:p>
        </w:tc>
        <w:tc>
          <w:tcPr>
            <w:tcW w:type="dxa" w:w="2436"/>
          </w:tcPr>
          <w:p>
            <w:r>
              <w:t>QCM de pharmacie</w:t>
            </w:r>
          </w:p>
        </w:tc>
        <w:tc>
          <w:tcPr>
            <w:tcW w:type="dxa" w:w="2436"/>
          </w:tcPr>
          <w:p>
            <w:r>
              <w:t>~3 000</w:t>
            </w:r>
          </w:p>
        </w:tc>
      </w:tr>
      <w:tr>
        <w:tc>
          <w:tcPr>
            <w:tcW w:type="dxa" w:w="2436"/>
          </w:tcPr>
          <w:p>
            <w:r>
              <w:t>MedQuAD (NIH)</w:t>
            </w:r>
          </w:p>
        </w:tc>
        <w:tc>
          <w:tcPr>
            <w:tcW w:type="dxa" w:w="2436"/>
          </w:tcPr>
          <w:p>
            <w:r>
              <w:t>EN</w:t>
            </w:r>
          </w:p>
        </w:tc>
        <w:tc>
          <w:tcPr>
            <w:tcW w:type="dxa" w:w="2436"/>
          </w:tcPr>
          <w:p>
            <w:r>
              <w:t>Questions-Réponses</w:t>
            </w:r>
          </w:p>
        </w:tc>
        <w:tc>
          <w:tcPr>
            <w:tcW w:type="dxa" w:w="2436"/>
          </w:tcPr>
          <w:p>
            <w:r>
              <w:t>~47 000</w:t>
            </w:r>
          </w:p>
        </w:tc>
      </w:tr>
      <w:tr>
        <w:tc>
          <w:tcPr>
            <w:tcW w:type="dxa" w:w="2436"/>
          </w:tcPr>
          <w:p>
            <w:r>
              <w:t>UltraMedical-Preference</w:t>
            </w:r>
          </w:p>
        </w:tc>
        <w:tc>
          <w:tcPr>
            <w:tcW w:type="dxa" w:w="2436"/>
          </w:tcPr>
          <w:p>
            <w:r>
              <w:t>EN</w:t>
            </w:r>
          </w:p>
        </w:tc>
        <w:tc>
          <w:tcPr>
            <w:tcW w:type="dxa" w:w="2436"/>
          </w:tcPr>
          <w:p>
            <w:r>
              <w:t>Paires chosen/rejected pour DPO</w:t>
            </w:r>
          </w:p>
        </w:tc>
        <w:tc>
          <w:tcPr>
            <w:tcW w:type="dxa" w:w="2436"/>
          </w:tcPr>
          <w:p>
            <w:r>
              <w:t>~70 000</w:t>
            </w:r>
          </w:p>
        </w:tc>
      </w:tr>
    </w:tbl>
    <w:p>
      <w:pPr>
        <w:pStyle w:val="Heading2"/>
      </w:pPr>
      <w:r>
        <w:rPr>
          <w:color w:val="1F2937"/>
        </w:rPr>
        <w:t>3.2 Nettoyage et structuration</w:t>
      </w:r>
    </w:p>
    <w:p>
      <w:r>
        <w:rPr>
          <w:b w:val="0"/>
          <w:i w:val="0"/>
          <w:sz w:val="22"/>
        </w:rPr>
        <w:t>Chaque corpus a subi les traitements suivants :</w:t>
      </w:r>
    </w:p>
    <w:p>
      <w:pPr>
        <w:pStyle w:val="ListBullet"/>
        <w:ind w:left="340"/>
      </w:pPr>
      <w:r>
        <w:t>Parsing au format ChatML (messages system / user / assistant)</w:t>
      </w:r>
    </w:p>
    <w:p>
      <w:pPr>
        <w:pStyle w:val="ListBullet"/>
        <w:ind w:left="340"/>
      </w:pPr>
      <w:r>
        <w:t>Déduplication par hash SHA-256 du contenu</w:t>
      </w:r>
    </w:p>
    <w:p>
      <w:pPr>
        <w:pStyle w:val="ListBullet"/>
        <w:ind w:left="340"/>
      </w:pPr>
      <w:r>
        <w:t>Filtrage des exemples tronqués ou malformés</w:t>
      </w:r>
    </w:p>
    <w:p>
      <w:pPr>
        <w:pStyle w:val="ListBullet"/>
        <w:ind w:left="340"/>
      </w:pPr>
      <w:r>
        <w:t>Ajout de métadonnées : source, langue, type_question, sujet_medical, niveau_confiance</w:t>
      </w:r>
    </w:p>
    <w:p>
      <w:pPr>
        <w:pStyle w:val="Heading2"/>
      </w:pPr>
      <w:r>
        <w:rPr>
          <w:color w:val="1F2937"/>
        </w:rPr>
        <w:t>3.3 Anonymisation RGPD — approche professionnelle</w:t>
      </w:r>
    </w:p>
    <w:p>
      <w:r>
        <w:rPr>
          <w:b w:val="0"/>
          <w:i/>
          <w:sz w:val="22"/>
        </w:rPr>
        <w:t>Problématique initiale : une anonymisation naïve par remplacement avec placeholders (« &lt;PERSONNE&gt; », « &lt;LIEU&gt; ») a provoqué l'apparition de tokens hors-vocabulaire lors du fine-tuning, dégradant significativement la qualité des réponses (boucles répétitives, tokens parasites).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 xml:space="preserve">Solution retenue : </w:t>
      </w:r>
    </w:p>
    <w:p>
      <w:r>
        <w:rPr>
          <w:b w:val="0"/>
          <w:i w:val="0"/>
          <w:sz w:val="22"/>
        </w:rPr>
        <w:t>Pseudo-anonymisation via Faker (fr_FR) conforme à l'article 4(5) du RGPD. Les entités détectées par Presidio sont remplacées par des données factices réalistes.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Avantages :</w:t>
      </w:r>
    </w:p>
    <w:p>
      <w:pPr>
        <w:pStyle w:val="ListBullet"/>
        <w:ind w:left="340"/>
      </w:pPr>
      <w:r>
        <w:t>Données non ré-identifiables (conformes RGPD)</w:t>
      </w:r>
    </w:p>
    <w:p>
      <w:pPr>
        <w:pStyle w:val="ListBullet"/>
        <w:ind w:left="340"/>
      </w:pPr>
      <w:r>
        <w:t>Texte grammaticalement cohérent (pas de tokens hors vocabulaire)</w:t>
      </w:r>
    </w:p>
    <w:p>
      <w:pPr>
        <w:pStyle w:val="ListBullet"/>
        <w:ind w:left="340"/>
      </w:pPr>
      <w:r>
        <w:t>Tokenisation normale par le modèle</w:t>
      </w:r>
    </w:p>
    <w:p>
      <w:pPr>
        <w:pStyle w:val="ListBullet"/>
        <w:ind w:left="340"/>
      </w:pPr>
      <w:r>
        <w:t>Traçabilité complète : rapport anonymization_report.json avec comptes d'entités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Whitelist médicale anti-faux-positifs :</w:t>
      </w:r>
    </w:p>
    <w:p>
      <w:r>
        <w:rPr>
          <w:b w:val="0"/>
          <w:i w:val="0"/>
          <w:sz w:val="22"/>
        </w:rPr>
        <w:t>Environ 50 termes protégés pour éviter les faux positifs de Presidio sur les éponymes et classifications cliniques.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</w:rPr>
              <w:t>Catégorie</w:t>
            </w:r>
          </w:p>
        </w:tc>
        <w:tc>
          <w:tcPr>
            <w:tcW w:type="dxa" w:w="4873"/>
          </w:tcPr>
          <w:p>
            <w:r/>
            <w:r>
              <w:rPr>
                <w:b/>
              </w:rPr>
              <w:t>Exemples</w:t>
            </w:r>
          </w:p>
        </w:tc>
      </w:tr>
      <w:tr>
        <w:tc>
          <w:tcPr>
            <w:tcW w:type="dxa" w:w="4873"/>
          </w:tcPr>
          <w:p>
            <w:r>
              <w:t>Stades cliniques</w:t>
            </w:r>
          </w:p>
        </w:tc>
        <w:tc>
          <w:tcPr>
            <w:tcW w:type="dxa" w:w="4873"/>
          </w:tcPr>
          <w:p>
            <w:r>
              <w:t>stade I/II/III/IV, grade I/II/III, T1N0M0</w:t>
            </w:r>
          </w:p>
        </w:tc>
      </w:tr>
      <w:tr>
        <w:tc>
          <w:tcPr>
            <w:tcW w:type="dxa" w:w="4873"/>
          </w:tcPr>
          <w:p>
            <w:r>
              <w:t>Classifications</w:t>
            </w:r>
          </w:p>
        </w:tc>
        <w:tc>
          <w:tcPr>
            <w:tcW w:type="dxa" w:w="4873"/>
          </w:tcPr>
          <w:p>
            <w:r>
              <w:t>OMS, ASA, NYHA, TNM, CIM-10</w:t>
            </w:r>
          </w:p>
        </w:tc>
      </w:tr>
      <w:tr>
        <w:tc>
          <w:tcPr>
            <w:tcW w:type="dxa" w:w="4873"/>
          </w:tcPr>
          <w:p>
            <w:r>
              <w:t>Éponymes anatomiques</w:t>
            </w:r>
          </w:p>
        </w:tc>
        <w:tc>
          <w:tcPr>
            <w:tcW w:type="dxa" w:w="4873"/>
          </w:tcPr>
          <w:p>
            <w:r>
              <w:t>Malpighi, Langerhans, Willis, Broca</w:t>
            </w:r>
          </w:p>
        </w:tc>
      </w:tr>
      <w:tr>
        <w:tc>
          <w:tcPr>
            <w:tcW w:type="dxa" w:w="4873"/>
          </w:tcPr>
          <w:p>
            <w:r>
              <w:t>Éponymes pathologiques</w:t>
            </w:r>
          </w:p>
        </w:tc>
        <w:tc>
          <w:tcPr>
            <w:tcW w:type="dxa" w:w="4873"/>
          </w:tcPr>
          <w:p>
            <w:r>
              <w:t>Alzheimer, Parkinson, Crohn, Hashimoto</w:t>
            </w:r>
          </w:p>
        </w:tc>
      </w:tr>
    </w:tbl>
    <w:p>
      <w:pPr>
        <w:pStyle w:val="Heading2"/>
      </w:pPr>
      <w:r>
        <w:rPr>
          <w:color w:val="1F2937"/>
        </w:rPr>
        <w:t>3.4 Constitution du dataset final</w:t>
      </w:r>
    </w:p>
    <w:p>
      <w:r>
        <w:rPr>
          <w:b w:val="0"/>
          <w:i w:val="0"/>
          <w:sz w:val="22"/>
        </w:rPr>
        <w:t>Pipeline de sélection : échantillonnage stratifié par source et par langue pour garantir l'équilibre bilingue.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b/>
              </w:rPr>
              <w:t>Split</w:t>
            </w:r>
          </w:p>
        </w:tc>
        <w:tc>
          <w:tcPr>
            <w:tcW w:type="dxa" w:w="3249"/>
          </w:tcPr>
          <w:p>
            <w:r/>
            <w:r>
              <w:rPr>
                <w:b/>
              </w:rPr>
              <w:t>Volume</w:t>
            </w:r>
          </w:p>
        </w:tc>
        <w:tc>
          <w:tcPr>
            <w:tcW w:type="dxa" w:w="3249"/>
          </w:tcPr>
          <w:p>
            <w:r/>
            <w:r>
              <w:rPr>
                <w:b/>
              </w:rPr>
              <w:t>Usage</w:t>
            </w:r>
          </w:p>
        </w:tc>
      </w:tr>
      <w:tr>
        <w:tc>
          <w:tcPr>
            <w:tcW w:type="dxa" w:w="3249"/>
          </w:tcPr>
          <w:p>
            <w:r>
              <w:t>SFT train</w:t>
            </w:r>
          </w:p>
        </w:tc>
        <w:tc>
          <w:tcPr>
            <w:tcW w:type="dxa" w:w="3249"/>
          </w:tcPr>
          <w:p>
            <w:r>
              <w:t>4 000 paires</w:t>
            </w:r>
          </w:p>
        </w:tc>
        <w:tc>
          <w:tcPr>
            <w:tcW w:type="dxa" w:w="3249"/>
          </w:tcPr>
          <w:p>
            <w:r>
              <w:t>Fine-tuning supervisé</w:t>
            </w:r>
          </w:p>
        </w:tc>
      </w:tr>
      <w:tr>
        <w:tc>
          <w:tcPr>
            <w:tcW w:type="dxa" w:w="3249"/>
          </w:tcPr>
          <w:p>
            <w:r>
              <w:t>SFT eval</w:t>
            </w:r>
          </w:p>
        </w:tc>
        <w:tc>
          <w:tcPr>
            <w:tcW w:type="dxa" w:w="3249"/>
          </w:tcPr>
          <w:p>
            <w:r>
              <w:t>500 paires</w:t>
            </w:r>
          </w:p>
        </w:tc>
        <w:tc>
          <w:tcPr>
            <w:tcW w:type="dxa" w:w="3249"/>
          </w:tcPr>
          <w:p>
            <w:r>
              <w:t>Validation intermédiaire</w:t>
            </w:r>
          </w:p>
        </w:tc>
      </w:tr>
      <w:tr>
        <w:tc>
          <w:tcPr>
            <w:tcW w:type="dxa" w:w="3249"/>
          </w:tcPr>
          <w:p>
            <w:r>
              <w:t>SFT test</w:t>
            </w:r>
          </w:p>
        </w:tc>
        <w:tc>
          <w:tcPr>
            <w:tcW w:type="dxa" w:w="3249"/>
          </w:tcPr>
          <w:p>
            <w:r>
              <w:t>500 paires</w:t>
            </w:r>
          </w:p>
        </w:tc>
        <w:tc>
          <w:tcPr>
            <w:tcW w:type="dxa" w:w="3249"/>
          </w:tcPr>
          <w:p>
            <w:r>
              <w:t>Évaluation finale</w:t>
            </w:r>
          </w:p>
        </w:tc>
      </w:tr>
      <w:tr>
        <w:tc>
          <w:tcPr>
            <w:tcW w:type="dxa" w:w="3249"/>
          </w:tcPr>
          <w:p>
            <w:r>
              <w:t>DPO train</w:t>
            </w:r>
          </w:p>
        </w:tc>
        <w:tc>
          <w:tcPr>
            <w:tcW w:type="dxa" w:w="3249"/>
          </w:tcPr>
          <w:p>
            <w:r>
              <w:t>61 219 paires</w:t>
            </w:r>
          </w:p>
        </w:tc>
        <w:tc>
          <w:tcPr>
            <w:tcW w:type="dxa" w:w="3249"/>
          </w:tcPr>
          <w:p>
            <w:r>
              <w:t>Alignement préférentiel (sous-échantillonné à 15 000 en POC)</w:t>
            </w:r>
          </w:p>
        </w:tc>
      </w:tr>
      <w:tr>
        <w:tc>
          <w:tcPr>
            <w:tcW w:type="dxa" w:w="3249"/>
          </w:tcPr>
          <w:p>
            <w:r>
              <w:t>DPO eval</w:t>
            </w:r>
          </w:p>
        </w:tc>
        <w:tc>
          <w:tcPr>
            <w:tcW w:type="dxa" w:w="3249"/>
          </w:tcPr>
          <w:p>
            <w:r>
              <w:t>7 652 paires</w:t>
            </w:r>
          </w:p>
        </w:tc>
        <w:tc>
          <w:tcPr>
            <w:tcW w:type="dxa" w:w="3249"/>
          </w:tcPr>
          <w:p>
            <w:r>
              <w:t>Validation DPO</w:t>
            </w:r>
          </w:p>
        </w:tc>
      </w:tr>
      <w:tr>
        <w:tc>
          <w:tcPr>
            <w:tcW w:type="dxa" w:w="3249"/>
          </w:tcPr>
          <w:p>
            <w:r>
              <w:t>DPO test</w:t>
            </w:r>
          </w:p>
        </w:tc>
        <w:tc>
          <w:tcPr>
            <w:tcW w:type="dxa" w:w="3249"/>
          </w:tcPr>
          <w:p>
            <w:r>
              <w:t>7 652 paires</w:t>
            </w:r>
          </w:p>
        </w:tc>
        <w:tc>
          <w:tcPr>
            <w:tcW w:type="dxa" w:w="3249"/>
          </w:tcPr>
          <w:p>
            <w:r>
              <w:t>Évaluation DPO</w:t>
            </w:r>
          </w:p>
        </w:tc>
      </w:tr>
    </w:tbl>
    <w:p>
      <w:r>
        <w:rPr>
          <w:b w:val="0"/>
          <w:i w:val="0"/>
          <w:sz w:val="22"/>
        </w:rPr>
      </w:r>
    </w:p>
    <w:p>
      <w:r>
        <w:rPr>
          <w:b w:val="0"/>
          <w:i w:val="0"/>
          <w:sz w:val="22"/>
        </w:rPr>
        <w:t>Le dataset final est publié sur Hugging Face Hub en mode privé : Marintosti/chsa-medical-data.</w:t>
      </w:r>
    </w:p>
    <w:p>
      <w:r>
        <w:br w:type="page"/>
      </w:r>
    </w:p>
    <w:p>
      <w:pPr>
        <w:pStyle w:val="Heading1"/>
      </w:pPr>
      <w:r>
        <w:rPr>
          <w:color w:val="1F2937"/>
        </w:rPr>
        <w:t>4. Fine-tuning supervisé SFT + LoRA (Semaine 2)</w:t>
      </w:r>
    </w:p>
    <w:p>
      <w:pPr>
        <w:pStyle w:val="Heading2"/>
      </w:pPr>
      <w:r>
        <w:rPr>
          <w:color w:val="1F2937"/>
        </w:rPr>
        <w:t>4.1 Choix du modèle de base</w:t>
      </w:r>
    </w:p>
    <w:p>
      <w:r>
        <w:rPr>
          <w:b w:val="0"/>
          <w:i w:val="0"/>
          <w:sz w:val="22"/>
        </w:rPr>
        <w:t>Qwen3-1.7B-Base retenu pour :</w:t>
      </w:r>
    </w:p>
    <w:p>
      <w:pPr>
        <w:pStyle w:val="ListBullet"/>
        <w:ind w:left="340"/>
      </w:pPr>
      <w:r>
        <w:t>Taille compacte : entrée modèle sur GPU 24 Go avec batch=4</w:t>
      </w:r>
    </w:p>
    <w:p>
      <w:pPr>
        <w:pStyle w:val="ListBullet"/>
        <w:ind w:left="340"/>
      </w:pPr>
      <w:r>
        <w:t>Multilingue : pré-entraîné sur français + anglais + chinois</w:t>
      </w:r>
    </w:p>
    <w:p>
      <w:pPr>
        <w:pStyle w:val="ListBullet"/>
        <w:ind w:left="340"/>
      </w:pPr>
      <w:r>
        <w:t>Licence permissive : utilisation commerciale autorisée</w:t>
      </w:r>
    </w:p>
    <w:p>
      <w:pPr>
        <w:pStyle w:val="ListBullet"/>
        <w:ind w:left="340"/>
      </w:pPr>
      <w:r>
        <w:t>Architecture moderne : RoPE, SwiGLU, RMSNorm — bon rapport qualité/paramètre</w:t>
      </w:r>
    </w:p>
    <w:p>
      <w:pPr>
        <w:pStyle w:val="Heading2"/>
      </w:pPr>
      <w:r>
        <w:rPr>
          <w:color w:val="1F2937"/>
        </w:rPr>
        <w:t>4.2 LoRA : Low-Rank Adaptation</w:t>
      </w:r>
    </w:p>
    <w:p>
      <w:r>
        <w:rPr>
          <w:b w:val="0"/>
          <w:i w:val="0"/>
          <w:sz w:val="22"/>
        </w:rPr>
        <w:t>Au lieu de mettre à jour les 1,7 milliards de paramètres du modèle, LoRA ajoute des matrices de bas rang (r=32) aux couches d'attention et MLP. Gain : environ 30 M paramètres entraînables (1,8 % du total), pour un adapter final de ~50 Mo.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Configuration retenue :</w:t>
      </w:r>
    </w:p>
    <w:p>
      <w:pPr>
        <w:pStyle w:val="ListBullet"/>
        <w:ind w:left="340"/>
      </w:pPr>
      <w:r>
        <w:t>r = 32</w:t>
      </w:r>
    </w:p>
    <w:p>
      <w:pPr>
        <w:pStyle w:val="ListBullet"/>
        <w:ind w:left="340"/>
      </w:pPr>
      <w:r>
        <w:t>lora_alpha = 64 (ratio α/r = 2, scaling standard)</w:t>
      </w:r>
    </w:p>
    <w:p>
      <w:pPr>
        <w:pStyle w:val="ListBullet"/>
        <w:ind w:left="340"/>
      </w:pPr>
      <w:r>
        <w:t>lora_dropout = 0.05</w:t>
      </w:r>
    </w:p>
    <w:p>
      <w:pPr>
        <w:pStyle w:val="ListBullet"/>
        <w:ind w:left="340"/>
      </w:pPr>
      <w:r>
        <w:t>target_modules : q_proj, k_proj, v_proj, o_proj (attention) + gate_proj, up_proj, down_proj (MLP SwiGLU)</w:t>
      </w:r>
    </w:p>
    <w:p>
      <w:pPr>
        <w:pStyle w:val="Heading2"/>
      </w:pPr>
      <w:r>
        <w:rPr>
          <w:color w:val="1F2937"/>
        </w:rPr>
        <w:t>4.3 Hyperparamètres SFT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b/>
              </w:rPr>
              <w:t>Paramètre</w:t>
            </w:r>
          </w:p>
        </w:tc>
        <w:tc>
          <w:tcPr>
            <w:tcW w:type="dxa" w:w="3249"/>
          </w:tcPr>
          <w:p>
            <w:r/>
            <w:r>
              <w:rPr>
                <w:b/>
              </w:rPr>
              <w:t>Valeur</w:t>
            </w:r>
          </w:p>
        </w:tc>
        <w:tc>
          <w:tcPr>
            <w:tcW w:type="dxa" w:w="3249"/>
          </w:tcPr>
          <w:p>
            <w:r/>
            <w:r>
              <w:rPr>
                <w:b/>
              </w:rPr>
              <w:t>Justification</w:t>
            </w:r>
          </w:p>
        </w:tc>
      </w:tr>
      <w:tr>
        <w:tc>
          <w:tcPr>
            <w:tcW w:type="dxa" w:w="3249"/>
          </w:tcPr>
          <w:p>
            <w:r>
              <w:t>Learning rate</w:t>
            </w:r>
          </w:p>
        </w:tc>
        <w:tc>
          <w:tcPr>
            <w:tcW w:type="dxa" w:w="3249"/>
          </w:tcPr>
          <w:p>
            <w:r>
              <w:t>2.0e-4</w:t>
            </w:r>
          </w:p>
        </w:tc>
        <w:tc>
          <w:tcPr>
            <w:tcW w:type="dxa" w:w="3249"/>
          </w:tcPr>
          <w:p>
            <w:r>
              <w:t>Standard LoRA (10-20× plus haut que full fine-tuning)</w:t>
            </w:r>
          </w:p>
        </w:tc>
      </w:tr>
      <w:tr>
        <w:tc>
          <w:tcPr>
            <w:tcW w:type="dxa" w:w="3249"/>
          </w:tcPr>
          <w:p>
            <w:r>
              <w:t>Scheduler</w:t>
            </w:r>
          </w:p>
        </w:tc>
        <w:tc>
          <w:tcPr>
            <w:tcW w:type="dxa" w:w="3249"/>
          </w:tcPr>
          <w:p>
            <w:r>
              <w:t>cosine</w:t>
            </w:r>
          </w:p>
        </w:tc>
        <w:tc>
          <w:tcPr>
            <w:tcW w:type="dxa" w:w="3249"/>
          </w:tcPr>
          <w:p>
            <w:r>
              <w:t>Décroissance douce, meilleure convergence</w:t>
            </w:r>
          </w:p>
        </w:tc>
      </w:tr>
      <w:tr>
        <w:tc>
          <w:tcPr>
            <w:tcW w:type="dxa" w:w="3249"/>
          </w:tcPr>
          <w:p>
            <w:r>
              <w:t>Warmup ratio</w:t>
            </w:r>
          </w:p>
        </w:tc>
        <w:tc>
          <w:tcPr>
            <w:tcW w:type="dxa" w:w="3249"/>
          </w:tcPr>
          <w:p>
            <w:r>
              <w:t>0.1</w:t>
            </w:r>
          </w:p>
        </w:tc>
        <w:tc>
          <w:tcPr>
            <w:tcW w:type="dxa" w:w="3249"/>
          </w:tcPr>
          <w:p>
            <w:r>
              <w:t>Stabilise les premiers steps</w:t>
            </w:r>
          </w:p>
        </w:tc>
      </w:tr>
      <w:tr>
        <w:tc>
          <w:tcPr>
            <w:tcW w:type="dxa" w:w="3249"/>
          </w:tcPr>
          <w:p>
            <w:r>
              <w:t>Batch size</w:t>
            </w:r>
          </w:p>
        </w:tc>
        <w:tc>
          <w:tcPr>
            <w:tcW w:type="dxa" w:w="3249"/>
          </w:tcPr>
          <w:p>
            <w:r>
              <w:t>4 × 4 (accum) = 16</w:t>
            </w:r>
          </w:p>
        </w:tc>
        <w:tc>
          <w:tcPr>
            <w:tcW w:type="dxa" w:w="3249"/>
          </w:tcPr>
          <w:p>
            <w:r>
              <w:t>Batch effectif équilibré sur GPU 24 Go</w:t>
            </w:r>
          </w:p>
        </w:tc>
      </w:tr>
      <w:tr>
        <w:tc>
          <w:tcPr>
            <w:tcW w:type="dxa" w:w="3249"/>
          </w:tcPr>
          <w:p>
            <w:r>
              <w:t>Epochs</w:t>
            </w:r>
          </w:p>
        </w:tc>
        <w:tc>
          <w:tcPr>
            <w:tcW w:type="dxa" w:w="3249"/>
          </w:tcPr>
          <w:p>
            <w:r>
              <w:t>3</w:t>
            </w:r>
          </w:p>
        </w:tc>
        <w:tc>
          <w:tcPr>
            <w:tcW w:type="dxa" w:w="3249"/>
          </w:tcPr>
          <w:p>
            <w:r>
              <w:t>Suffisant pour adaptation domaine</w:t>
            </w:r>
          </w:p>
        </w:tc>
      </w:tr>
      <w:tr>
        <w:tc>
          <w:tcPr>
            <w:tcW w:type="dxa" w:w="3249"/>
          </w:tcPr>
          <w:p>
            <w:r>
              <w:t>Max seq length</w:t>
            </w:r>
          </w:p>
        </w:tc>
        <w:tc>
          <w:tcPr>
            <w:tcW w:type="dxa" w:w="3249"/>
          </w:tcPr>
          <w:p>
            <w:r>
              <w:t>2 048</w:t>
            </w:r>
          </w:p>
        </w:tc>
        <w:tc>
          <w:tcPr>
            <w:tcW w:type="dxa" w:w="3249"/>
          </w:tcPr>
          <w:p>
            <w:r>
              <w:t>Couvre 99 % des cas cliniques du corpus</w:t>
            </w:r>
          </w:p>
        </w:tc>
      </w:tr>
      <w:tr>
        <w:tc>
          <w:tcPr>
            <w:tcW w:type="dxa" w:w="3249"/>
          </w:tcPr>
          <w:p>
            <w:r>
              <w:t>Precision</w:t>
            </w:r>
          </w:p>
        </w:tc>
        <w:tc>
          <w:tcPr>
            <w:tcW w:type="dxa" w:w="3249"/>
          </w:tcPr>
          <w:p>
            <w:r>
              <w:t>bf16</w:t>
            </w:r>
          </w:p>
        </w:tc>
        <w:tc>
          <w:tcPr>
            <w:tcW w:type="dxa" w:w="3249"/>
          </w:tcPr>
          <w:p>
            <w:r>
              <w:t>Stable + rapide sur GPU modernes</w:t>
            </w:r>
          </w:p>
        </w:tc>
      </w:tr>
      <w:tr>
        <w:tc>
          <w:tcPr>
            <w:tcW w:type="dxa" w:w="3249"/>
          </w:tcPr>
          <w:p>
            <w:r>
              <w:t>Gradient checkpointing</w:t>
            </w:r>
          </w:p>
        </w:tc>
        <w:tc>
          <w:tcPr>
            <w:tcW w:type="dxa" w:w="3249"/>
          </w:tcPr>
          <w:p>
            <w:r>
              <w:t>true</w:t>
            </w:r>
          </w:p>
        </w:tc>
        <w:tc>
          <w:tcPr>
            <w:tcW w:type="dxa" w:w="3249"/>
          </w:tcPr>
          <w:p>
            <w:r>
              <w:t>-35 % VRAM au prix de +20 % temps</w:t>
            </w:r>
          </w:p>
        </w:tc>
      </w:tr>
    </w:tbl>
    <w:p>
      <w:pPr>
        <w:pStyle w:val="Heading2"/>
      </w:pPr>
      <w:r>
        <w:rPr>
          <w:color w:val="1F2937"/>
        </w:rPr>
        <w:t>4.4 Résultats SFT</w:t>
      </w:r>
    </w:p>
    <w:p>
      <w:r>
        <w:rPr>
          <w:b w:val="0"/>
          <w:i w:val="0"/>
          <w:sz w:val="22"/>
        </w:rPr>
        <w:t>Temps d'entraînement : environ 20-25 min sur GPU 24 Go.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Courbe de loss 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b/>
              </w:rPr>
              <w:t>Step</w:t>
            </w:r>
          </w:p>
        </w:tc>
        <w:tc>
          <w:tcPr>
            <w:tcW w:type="dxa" w:w="3249"/>
          </w:tcPr>
          <w:p>
            <w:r/>
            <w:r>
              <w:rPr>
                <w:b/>
              </w:rPr>
              <w:t>Train loss</w:t>
            </w:r>
          </w:p>
        </w:tc>
        <w:tc>
          <w:tcPr>
            <w:tcW w:type="dxa" w:w="3249"/>
          </w:tcPr>
          <w:p>
            <w:r/>
            <w:r>
              <w:rPr>
                <w:b/>
              </w:rPr>
              <w:t>Eval loss</w:t>
            </w:r>
          </w:p>
        </w:tc>
      </w:tr>
      <w:tr>
        <w:tc>
          <w:tcPr>
            <w:tcW w:type="dxa" w:w="3249"/>
          </w:tcPr>
          <w:p>
            <w:r>
              <w:t>100</w:t>
            </w:r>
          </w:p>
        </w:tc>
        <w:tc>
          <w:tcPr>
            <w:tcW w:type="dxa" w:w="3249"/>
          </w:tcPr>
          <w:p>
            <w:r>
              <w:t>1.456</w:t>
            </w:r>
          </w:p>
        </w:tc>
        <w:tc>
          <w:tcPr>
            <w:tcW w:type="dxa" w:w="3249"/>
          </w:tcPr>
          <w:p>
            <w:r>
              <w:t>1.444</w:t>
            </w:r>
          </w:p>
        </w:tc>
      </w:tr>
      <w:tr>
        <w:tc>
          <w:tcPr>
            <w:tcW w:type="dxa" w:w="3249"/>
          </w:tcPr>
          <w:p>
            <w:r>
              <w:t>200</w:t>
            </w:r>
          </w:p>
        </w:tc>
        <w:tc>
          <w:tcPr>
            <w:tcW w:type="dxa" w:w="3249"/>
          </w:tcPr>
          <w:p>
            <w:r>
              <w:t>1.417</w:t>
            </w:r>
          </w:p>
        </w:tc>
        <w:tc>
          <w:tcPr>
            <w:tcW w:type="dxa" w:w="3249"/>
          </w:tcPr>
          <w:p>
            <w:r>
              <w:t>1.393</w:t>
            </w:r>
          </w:p>
        </w:tc>
      </w:tr>
      <w:tr>
        <w:tc>
          <w:tcPr>
            <w:tcW w:type="dxa" w:w="3249"/>
          </w:tcPr>
          <w:p>
            <w:r>
              <w:t>300</w:t>
            </w:r>
          </w:p>
        </w:tc>
        <w:tc>
          <w:tcPr>
            <w:tcW w:type="dxa" w:w="3249"/>
          </w:tcPr>
          <w:p>
            <w:r>
              <w:t>1.277</w:t>
            </w:r>
          </w:p>
        </w:tc>
        <w:tc>
          <w:tcPr>
            <w:tcW w:type="dxa" w:w="3249"/>
          </w:tcPr>
          <w:p>
            <w:r>
              <w:t>1.370</w:t>
            </w:r>
          </w:p>
        </w:tc>
      </w:tr>
      <w:tr>
        <w:tc>
          <w:tcPr>
            <w:tcW w:type="dxa" w:w="3249"/>
          </w:tcPr>
          <w:p>
            <w:r>
              <w:t>Final</w:t>
            </w:r>
          </w:p>
        </w:tc>
        <w:tc>
          <w:tcPr>
            <w:tcW w:type="dxa" w:w="3249"/>
          </w:tcPr>
          <w:p>
            <w:r>
              <w:t>1.366</w:t>
            </w:r>
          </w:p>
        </w:tc>
        <w:tc>
          <w:tcPr>
            <w:tcW w:type="dxa" w:w="3249"/>
          </w:tcPr>
          <w:p>
            <w:r>
              <w:t>[à compléter]</w:t>
            </w:r>
          </w:p>
        </w:tc>
      </w:tr>
    </w:tbl>
    <w:p>
      <w:r>
        <w:rPr>
          <w:b w:val="0"/>
          <w:i w:val="0"/>
          <w:sz w:val="22"/>
        </w:rPr>
      </w:r>
    </w:p>
    <w:p>
      <w:r>
        <w:rPr>
          <w:b w:val="0"/>
          <w:i w:val="0"/>
          <w:sz w:val="22"/>
        </w:rPr>
        <w:t>Interprétation : convergence saine, pas d'overfitting (écart train/eval &lt; 0.1), baisse de ~6 % sur la cross-entropy.</w:t>
      </w:r>
    </w:p>
    <w:p>
      <w:pPr>
        <w:pStyle w:val="Heading2"/>
      </w:pPr>
      <w:r>
        <w:rPr>
          <w:color w:val="1F2937"/>
        </w:rPr>
        <w:t>4.5 Observations qualitatives</w:t>
      </w:r>
    </w:p>
    <w:p>
      <w:r>
        <w:rPr>
          <w:b/>
          <w:i w:val="0"/>
          <w:sz w:val="22"/>
        </w:rPr>
        <w:t xml:space="preserve">Amélioration nette sur : </w:t>
      </w:r>
    </w:p>
    <w:p>
      <w:pPr>
        <w:pStyle w:val="ListBullet"/>
        <w:ind w:left="340"/>
      </w:pPr>
      <w:r>
        <w:t>Structuration des réponses (format Priorité : P1/P2/P3 + justification)</w:t>
      </w:r>
    </w:p>
    <w:p>
      <w:pPr>
        <w:pStyle w:val="ListBullet"/>
        <w:ind w:left="340"/>
      </w:pPr>
      <w:r>
        <w:t>Vocabulaire médical (terminologie clinique, abréviations standards)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 xml:space="preserve">Artefact identifié : </w:t>
      </w:r>
    </w:p>
    <w:p>
      <w:r>
        <w:rPr>
          <w:b w:val="0"/>
          <w:i w:val="0"/>
          <w:sz w:val="22"/>
        </w:rPr>
        <w:t>Qwen3-Base n'ayant jamais été exposé au format ChatML pendant son pré-entraînement, la distribution de sortie au premier token d'assistant reste biaisée par les statistiques multilingues du pré-entraînement (français + anglais + chinois + etc.). Avec un décodage greedy, cela peut générer occasionnellement un préfixe non-français en début de réponse.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 xml:space="preserve">Solution appliquée : </w:t>
      </w:r>
    </w:p>
    <w:p>
      <w:r>
        <w:rPr>
          <w:b w:val="0"/>
          <w:i w:val="0"/>
          <w:sz w:val="22"/>
        </w:rPr>
        <w:t>Échantillonnage avec temperature=0.7, top_p=0.9, repetition_penalty=1.3, no_repeat_ngram_size=4. Post-processing en sortie d'API : strip des caractères non-latins au début + coupure au premier leak de format training. Cette combinaison élimine les artefacts visibles pour l'utilisateur final.</w:t>
      </w:r>
    </w:p>
    <w:p>
      <w:r>
        <w:rPr>
          <w:b w:val="0"/>
          <w:i w:val="0"/>
          <w:sz w:val="22"/>
        </w:rPr>
      </w:r>
    </w:p>
    <w:p>
      <w:r>
        <w:rPr>
          <w:b w:val="0"/>
          <w:i/>
          <w:sz w:val="22"/>
        </w:rPr>
        <w:t>Note : en Phase 3, le passage à un modèle Instruct (déjà exposé à ChatML) supprimera ce problème à la source.</w:t>
      </w:r>
    </w:p>
    <w:p>
      <w:r>
        <w:br w:type="page"/>
      </w:r>
    </w:p>
    <w:p>
      <w:pPr>
        <w:pStyle w:val="Heading1"/>
      </w:pPr>
      <w:r>
        <w:rPr>
          <w:color w:val="1F2937"/>
        </w:rPr>
        <w:t>5. Alignement par préférences DPO (Semaine 3)</w:t>
      </w:r>
    </w:p>
    <w:p>
      <w:pPr>
        <w:pStyle w:val="Heading2"/>
      </w:pPr>
      <w:r>
        <w:rPr>
          <w:color w:val="1F2937"/>
        </w:rPr>
        <w:t>5.1 Principe</w:t>
      </w:r>
    </w:p>
    <w:p>
      <w:r>
        <w:rPr>
          <w:b w:val="0"/>
          <w:i w:val="0"/>
          <w:sz w:val="22"/>
        </w:rPr>
        <w:t>DPO (Direct Preference Optimization) permet d'aligner le modèle sur des préférences humaines sans entraîner de modèle de récompense intermédiaire (contrairement à RLHF). Le training maximise la probabilité des réponses « chosen » et minimise celles des « rejected ».</w:t>
      </w:r>
    </w:p>
    <w:p>
      <w:pPr>
        <w:pStyle w:val="Heading2"/>
      </w:pPr>
      <w:r>
        <w:rPr>
          <w:color w:val="1F2937"/>
        </w:rPr>
        <w:t>5.2 Données</w:t>
      </w:r>
    </w:p>
    <w:p>
      <w:r>
        <w:rPr>
          <w:b w:val="0"/>
          <w:i w:val="0"/>
          <w:sz w:val="22"/>
        </w:rPr>
        <w:t>UltraMedical-Preference (60 000+ paires) contient des réponses médicales validées par experts versus des réponses moins pertinentes (hallucinées, imprécises, ou cliniquement moins sûres). Sous-échantillonnage POC : 15 000 paires de training.</w:t>
      </w:r>
    </w:p>
    <w:p>
      <w:pPr>
        <w:pStyle w:val="Heading2"/>
      </w:pPr>
      <w:r>
        <w:rPr>
          <w:color w:val="1F2937"/>
        </w:rPr>
        <w:t>5.3 Configuration DPO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</w:rPr>
              <w:t>Paramètre</w:t>
            </w:r>
          </w:p>
        </w:tc>
        <w:tc>
          <w:tcPr>
            <w:tcW w:type="dxa" w:w="4873"/>
          </w:tcPr>
          <w:p>
            <w:r/>
            <w:r>
              <w:rPr>
                <w:b/>
              </w:rPr>
              <w:t>Valeur</w:t>
            </w:r>
          </w:p>
        </w:tc>
      </w:tr>
      <w:tr>
        <w:tc>
          <w:tcPr>
            <w:tcW w:type="dxa" w:w="4873"/>
          </w:tcPr>
          <w:p>
            <w:r>
              <w:t>num_train_epochs</w:t>
            </w:r>
          </w:p>
        </w:tc>
        <w:tc>
          <w:tcPr>
            <w:tcW w:type="dxa" w:w="4873"/>
          </w:tcPr>
          <w:p>
            <w:r>
              <w:t>1</w:t>
            </w:r>
          </w:p>
        </w:tc>
      </w:tr>
      <w:tr>
        <w:tc>
          <w:tcPr>
            <w:tcW w:type="dxa" w:w="4873"/>
          </w:tcPr>
          <w:p>
            <w:r>
              <w:t>per_device_train_batch_size</w:t>
            </w:r>
          </w:p>
        </w:tc>
        <w:tc>
          <w:tcPr>
            <w:tcW w:type="dxa" w:w="4873"/>
          </w:tcPr>
          <w:p>
            <w:r>
              <w:t>2</w:t>
            </w:r>
          </w:p>
        </w:tc>
      </w:tr>
      <w:tr>
        <w:tc>
          <w:tcPr>
            <w:tcW w:type="dxa" w:w="4873"/>
          </w:tcPr>
          <w:p>
            <w:r>
              <w:t>gradient_accumulation_steps</w:t>
            </w:r>
          </w:p>
        </w:tc>
        <w:tc>
          <w:tcPr>
            <w:tcW w:type="dxa" w:w="4873"/>
          </w:tcPr>
          <w:p>
            <w:r>
              <w:t>8 (effective = 16)</w:t>
            </w:r>
          </w:p>
        </w:tc>
      </w:tr>
      <w:tr>
        <w:tc>
          <w:tcPr>
            <w:tcW w:type="dxa" w:w="4873"/>
          </w:tcPr>
          <w:p>
            <w:r>
              <w:t>learning_rate</w:t>
            </w:r>
          </w:p>
        </w:tc>
        <w:tc>
          <w:tcPr>
            <w:tcW w:type="dxa" w:w="4873"/>
          </w:tcPr>
          <w:p>
            <w:r>
              <w:t>5.0e-5 (plus bas que SFT)</w:t>
            </w:r>
          </w:p>
        </w:tc>
      </w:tr>
      <w:tr>
        <w:tc>
          <w:tcPr>
            <w:tcW w:type="dxa" w:w="4873"/>
          </w:tcPr>
          <w:p>
            <w:r>
              <w:t>beta</w:t>
            </w:r>
          </w:p>
        </w:tc>
        <w:tc>
          <w:tcPr>
            <w:tcW w:type="dxa" w:w="4873"/>
          </w:tcPr>
          <w:p>
            <w:r>
              <w:t>0.1 (ratio chosen/rejected modéré)</w:t>
            </w:r>
          </w:p>
        </w:tc>
      </w:tr>
      <w:tr>
        <w:tc>
          <w:tcPr>
            <w:tcW w:type="dxa" w:w="4873"/>
          </w:tcPr>
          <w:p>
            <w:r>
              <w:t>max_length</w:t>
            </w:r>
          </w:p>
        </w:tc>
        <w:tc>
          <w:tcPr>
            <w:tcW w:type="dxa" w:w="4873"/>
          </w:tcPr>
          <w:p>
            <w:r>
              <w:t>2 048</w:t>
            </w:r>
          </w:p>
        </w:tc>
      </w:tr>
      <w:tr>
        <w:tc>
          <w:tcPr>
            <w:tcW w:type="dxa" w:w="4873"/>
          </w:tcPr>
          <w:p>
            <w:r>
              <w:t>max_prompt_length</w:t>
            </w:r>
          </w:p>
        </w:tc>
        <w:tc>
          <w:tcPr>
            <w:tcW w:type="dxa" w:w="4873"/>
          </w:tcPr>
          <w:p>
            <w:r>
              <w:t>1 024</w:t>
            </w:r>
          </w:p>
        </w:tc>
      </w:tr>
    </w:tbl>
    <w:p>
      <w:r>
        <w:rPr>
          <w:b w:val="0"/>
          <w:i w:val="0"/>
          <w:sz w:val="22"/>
        </w:rPr>
      </w:r>
    </w:p>
    <w:p>
      <w:r>
        <w:rPr>
          <w:b w:val="0"/>
          <w:i w:val="0"/>
          <w:sz w:val="22"/>
        </w:rPr>
        <w:t>LoRA réinitialisé (r=32, mêmes target_modules) sur le modèle SFT figé.</w:t>
      </w:r>
    </w:p>
    <w:p>
      <w:pPr>
        <w:pStyle w:val="Heading2"/>
      </w:pPr>
      <w:r>
        <w:rPr>
          <w:color w:val="1F2937"/>
        </w:rPr>
        <w:t>5.4 Résultats DPO</w:t>
      </w:r>
    </w:p>
    <w:p>
      <w:r>
        <w:rPr>
          <w:b w:val="0"/>
          <w:i w:val="0"/>
          <w:sz w:val="22"/>
        </w:rPr>
        <w:t>Temps d'entraînement : environ 1 h 15 sur GPU 24 Go (pour 15 000 paires).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Métriques DPO (à compléter après fin de run) 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</w:rPr>
              <w:t>Métrique</w:t>
            </w:r>
          </w:p>
        </w:tc>
        <w:tc>
          <w:tcPr>
            <w:tcW w:type="dxa" w:w="4873"/>
          </w:tcPr>
          <w:p>
            <w:r/>
            <w:r>
              <w:rPr>
                <w:b/>
              </w:rPr>
              <w:t>Valeur finale</w:t>
            </w:r>
          </w:p>
        </w:tc>
      </w:tr>
      <w:tr>
        <w:tc>
          <w:tcPr>
            <w:tcW w:type="dxa" w:w="4873"/>
          </w:tcPr>
          <w:p>
            <w:r>
              <w:t>Training loss</w:t>
            </w:r>
          </w:p>
        </w:tc>
        <w:tc>
          <w:tcPr>
            <w:tcW w:type="dxa" w:w="4873"/>
          </w:tcPr>
          <w:p>
            <w:r>
              <w:t>[à compléter]</w:t>
            </w:r>
          </w:p>
        </w:tc>
      </w:tr>
      <w:tr>
        <w:tc>
          <w:tcPr>
            <w:tcW w:type="dxa" w:w="4873"/>
          </w:tcPr>
          <w:p>
            <w:r>
              <w:t>Eval loss</w:t>
            </w:r>
          </w:p>
        </w:tc>
        <w:tc>
          <w:tcPr>
            <w:tcW w:type="dxa" w:w="4873"/>
          </w:tcPr>
          <w:p>
            <w:r>
              <w:t>[à compléter]</w:t>
            </w:r>
          </w:p>
        </w:tc>
      </w:tr>
      <w:tr>
        <w:tc>
          <w:tcPr>
            <w:tcW w:type="dxa" w:w="4873"/>
          </w:tcPr>
          <w:p>
            <w:r>
              <w:t>Rewards/chosen</w:t>
            </w:r>
          </w:p>
        </w:tc>
        <w:tc>
          <w:tcPr>
            <w:tcW w:type="dxa" w:w="4873"/>
          </w:tcPr>
          <w:p>
            <w:r>
              <w:t>[à compléter] (doit être &gt; 0)</w:t>
            </w:r>
          </w:p>
        </w:tc>
      </w:tr>
      <w:tr>
        <w:tc>
          <w:tcPr>
            <w:tcW w:type="dxa" w:w="4873"/>
          </w:tcPr>
          <w:p>
            <w:r>
              <w:t>Rewards/rejected</w:t>
            </w:r>
          </w:p>
        </w:tc>
        <w:tc>
          <w:tcPr>
            <w:tcW w:type="dxa" w:w="4873"/>
          </w:tcPr>
          <w:p>
            <w:r>
              <w:t>[à compléter] (doit être &lt; 0)</w:t>
            </w:r>
          </w:p>
        </w:tc>
      </w:tr>
      <w:tr>
        <w:tc>
          <w:tcPr>
            <w:tcW w:type="dxa" w:w="4873"/>
          </w:tcPr>
          <w:p>
            <w:r>
              <w:t>Reward margin</w:t>
            </w:r>
          </w:p>
        </w:tc>
        <w:tc>
          <w:tcPr>
            <w:tcW w:type="dxa" w:w="4873"/>
          </w:tcPr>
          <w:p>
            <w:r>
              <w:t>[à compléter] (doit croître pendant le training)</w:t>
            </w:r>
          </w:p>
        </w:tc>
      </w:tr>
    </w:tbl>
    <w:p>
      <w:r>
        <w:rPr>
          <w:b w:val="0"/>
          <w:i w:val="0"/>
          <w:sz w:val="22"/>
        </w:rPr>
      </w:r>
    </w:p>
    <w:p>
      <w:r>
        <w:rPr>
          <w:b w:val="0"/>
          <w:i w:val="0"/>
          <w:sz w:val="22"/>
        </w:rPr>
        <w:t>Interprétation attendue : la marge de reward doit croître au cours du training, confirmant que le modèle apprend à distinguer les réponses préférées des non-préférées.</w:t>
      </w:r>
    </w:p>
    <w:p>
      <w:pPr>
        <w:pStyle w:val="Heading2"/>
      </w:pPr>
      <w:r>
        <w:rPr>
          <w:color w:val="1F2937"/>
        </w:rPr>
        <w:t>5.5 Comparaison qualitative Base → SFT → DPO</w:t>
      </w:r>
    </w:p>
    <w:p>
      <w:r>
        <w:rPr>
          <w:b w:val="0"/>
          <w:i/>
          <w:sz w:val="22"/>
        </w:rPr>
        <w:t>Trois cas cliniques de référence ont été testés sur les trois versions du modèle : infarctus (P1 attendu), choc anaphylactique pédiatrique (P1), angine simple (P3). Les réponses détaillées figurent en annexe.</w:t>
      </w:r>
    </w:p>
    <w:p>
      <w:r>
        <w:br w:type="page"/>
      </w:r>
    </w:p>
    <w:p>
      <w:pPr>
        <w:pStyle w:val="Heading1"/>
      </w:pPr>
      <w:r>
        <w:rPr>
          <w:color w:val="1F2937"/>
        </w:rPr>
        <w:t>6. Déploiement et API (Semaine 4)</w:t>
      </w:r>
    </w:p>
    <w:p>
      <w:pPr>
        <w:pStyle w:val="Heading2"/>
      </w:pPr>
      <w:r>
        <w:rPr>
          <w:color w:val="1F2937"/>
        </w:rPr>
        <w:t>6.1 Architecture de déploiement</w:t>
      </w:r>
    </w:p>
    <w:p>
      <w:pPr>
        <w:pStyle w:val="ListBullet"/>
        <w:ind w:left="340"/>
      </w:pPr>
      <w:r>
        <w:t>Backend d'inférence : vLLM (PagedAttention + continuous batching) ou transformers</w:t>
      </w:r>
    </w:p>
    <w:p>
      <w:pPr>
        <w:pStyle w:val="ListBullet"/>
        <w:ind w:left="340"/>
      </w:pPr>
      <w:r>
        <w:t>Framework API : FastAPI (async, validation Pydantic, documentation OpenAPI)</w:t>
      </w:r>
    </w:p>
    <w:p>
      <w:pPr>
        <w:pStyle w:val="ListBullet"/>
        <w:ind w:left="340"/>
      </w:pPr>
      <w:r>
        <w:t>Hosting : HuggingFace Spaces GPU (pour le POC) avec image Docker</w:t>
      </w:r>
    </w:p>
    <w:p>
      <w:pPr>
        <w:pStyle w:val="ListBullet"/>
        <w:ind w:left="340"/>
      </w:pPr>
      <w:r>
        <w:t>Modèle : adapter LoRA chargé dynamiquement sur Qwen3-1.7B-Base via PEFT</w:t>
      </w:r>
    </w:p>
    <w:p>
      <w:pPr>
        <w:pStyle w:val="Heading2"/>
      </w:pPr>
      <w:r>
        <w:rPr>
          <w:color w:val="1F2937"/>
        </w:rPr>
        <w:t>6.2 Endpoints exposés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/>
            <w:r>
              <w:rPr>
                <w:b/>
              </w:rPr>
              <w:t>Route</w:t>
            </w:r>
          </w:p>
        </w:tc>
        <w:tc>
          <w:tcPr>
            <w:tcW w:type="dxa" w:w="2436"/>
          </w:tcPr>
          <w:p>
            <w:r/>
            <w:r>
              <w:rPr>
                <w:b/>
              </w:rPr>
              <w:t>Méthode</w:t>
            </w:r>
          </w:p>
        </w:tc>
        <w:tc>
          <w:tcPr>
            <w:tcW w:type="dxa" w:w="2436"/>
          </w:tcPr>
          <w:p>
            <w:r/>
            <w:r>
              <w:rPr>
                <w:b/>
              </w:rPr>
              <w:t>Auth</w:t>
            </w:r>
          </w:p>
        </w:tc>
        <w:tc>
          <w:tcPr>
            <w:tcW w:type="dxa" w:w="2436"/>
          </w:tcPr>
          <w:p>
            <w:r/>
            <w:r>
              <w:rPr>
                <w:b/>
              </w:rPr>
              <w:t>Rôle</w:t>
            </w:r>
          </w:p>
        </w:tc>
      </w:tr>
      <w:tr>
        <w:tc>
          <w:tcPr>
            <w:tcW w:type="dxa" w:w="2436"/>
          </w:tcPr>
          <w:p>
            <w:r>
              <w:t>/</w:t>
            </w:r>
          </w:p>
        </w:tc>
        <w:tc>
          <w:tcPr>
            <w:tcW w:type="dxa" w:w="2436"/>
          </w:tcPr>
          <w:p>
            <w:r>
              <w:t>GET</w:t>
            </w:r>
          </w:p>
        </w:tc>
        <w:tc>
          <w:tcPr>
            <w:tcW w:type="dxa" w:w="2436"/>
          </w:tcPr>
          <w:p>
            <w:r>
              <w:t>—</w:t>
            </w:r>
          </w:p>
        </w:tc>
        <w:tc>
          <w:tcPr>
            <w:tcW w:type="dxa" w:w="2436"/>
          </w:tcPr>
          <w:p>
            <w:r>
              <w:t>Métadonnées du service</w:t>
            </w:r>
          </w:p>
        </w:tc>
      </w:tr>
      <w:tr>
        <w:tc>
          <w:tcPr>
            <w:tcW w:type="dxa" w:w="2436"/>
          </w:tcPr>
          <w:p>
            <w:r>
              <w:t>/health</w:t>
            </w:r>
          </w:p>
        </w:tc>
        <w:tc>
          <w:tcPr>
            <w:tcW w:type="dxa" w:w="2436"/>
          </w:tcPr>
          <w:p>
            <w:r>
              <w:t>GET</w:t>
            </w:r>
          </w:p>
        </w:tc>
        <w:tc>
          <w:tcPr>
            <w:tcW w:type="dxa" w:w="2436"/>
          </w:tcPr>
          <w:p>
            <w:r>
              <w:t>—</w:t>
            </w:r>
          </w:p>
        </w:tc>
        <w:tc>
          <w:tcPr>
            <w:tcW w:type="dxa" w:w="2436"/>
          </w:tcPr>
          <w:p>
            <w:r>
              <w:t>Statut + backend actif</w:t>
            </w:r>
          </w:p>
        </w:tc>
      </w:tr>
      <w:tr>
        <w:tc>
          <w:tcPr>
            <w:tcW w:type="dxa" w:w="2436"/>
          </w:tcPr>
          <w:p>
            <w:r>
              <w:t>/triage</w:t>
            </w:r>
          </w:p>
        </w:tc>
        <w:tc>
          <w:tcPr>
            <w:tcW w:type="dxa" w:w="2436"/>
          </w:tcPr>
          <w:p>
            <w:r>
              <w:t>POST</w:t>
            </w:r>
          </w:p>
        </w:tc>
        <w:tc>
          <w:tcPr>
            <w:tcW w:type="dxa" w:w="2436"/>
          </w:tcPr>
          <w:p>
            <w:r>
              <w:t>X-API-Key</w:t>
            </w:r>
          </w:p>
        </w:tc>
        <w:tc>
          <w:tcPr>
            <w:tcW w:type="dxa" w:w="2436"/>
          </w:tcPr>
          <w:p>
            <w:r>
              <w:t>Évaluation de priorité</w:t>
            </w:r>
          </w:p>
        </w:tc>
      </w:tr>
      <w:tr>
        <w:tc>
          <w:tcPr>
            <w:tcW w:type="dxa" w:w="2436"/>
          </w:tcPr>
          <w:p>
            <w:r>
              <w:t>/audit</w:t>
            </w:r>
          </w:p>
        </w:tc>
        <w:tc>
          <w:tcPr>
            <w:tcW w:type="dxa" w:w="2436"/>
          </w:tcPr>
          <w:p>
            <w:r>
              <w:t>GET</w:t>
            </w:r>
          </w:p>
        </w:tc>
        <w:tc>
          <w:tcPr>
            <w:tcW w:type="dxa" w:w="2436"/>
          </w:tcPr>
          <w:p>
            <w:r>
              <w:t>X-API-Key</w:t>
            </w:r>
          </w:p>
        </w:tc>
        <w:tc>
          <w:tcPr>
            <w:tcW w:type="dxa" w:w="2436"/>
          </w:tcPr>
          <w:p>
            <w:r>
              <w:t>Journal des interactions (RGPD)</w:t>
            </w:r>
          </w:p>
        </w:tc>
      </w:tr>
      <w:tr>
        <w:tc>
          <w:tcPr>
            <w:tcW w:type="dxa" w:w="2436"/>
          </w:tcPr>
          <w:p>
            <w:r>
              <w:t>/docs</w:t>
            </w:r>
          </w:p>
        </w:tc>
        <w:tc>
          <w:tcPr>
            <w:tcW w:type="dxa" w:w="2436"/>
          </w:tcPr>
          <w:p>
            <w:r>
              <w:t>GET</w:t>
            </w:r>
          </w:p>
        </w:tc>
        <w:tc>
          <w:tcPr>
            <w:tcW w:type="dxa" w:w="2436"/>
          </w:tcPr>
          <w:p>
            <w:r>
              <w:t>—</w:t>
            </w:r>
          </w:p>
        </w:tc>
        <w:tc>
          <w:tcPr>
            <w:tcW w:type="dxa" w:w="2436"/>
          </w:tcPr>
          <w:p>
            <w:r>
              <w:t>Documentation OpenAPI interactive</w:t>
            </w:r>
          </w:p>
        </w:tc>
      </w:tr>
    </w:tbl>
    <w:p>
      <w:pPr>
        <w:pStyle w:val="Heading2"/>
      </w:pPr>
      <w:r>
        <w:rPr>
          <w:color w:val="1F2937"/>
        </w:rPr>
        <w:t>6.3 Schéma de requête / réponse</w:t>
      </w:r>
    </w:p>
    <w:p>
      <w:r>
        <w:rPr>
          <w:b/>
          <w:i w:val="0"/>
          <w:sz w:val="22"/>
        </w:rPr>
        <w:t>Requête TriageRequest :</w:t>
      </w:r>
    </w:p>
    <w:p>
      <w:pPr>
        <w:pStyle w:val="ListBullet"/>
        <w:ind w:left="340"/>
      </w:pPr>
      <w:r>
        <w:t>patient_id : identifiant patient (optionnel)</w:t>
      </w:r>
    </w:p>
    <w:p>
      <w:pPr>
        <w:pStyle w:val="ListBullet"/>
        <w:ind w:left="340"/>
      </w:pPr>
      <w:r>
        <w:t>symptoms : description libre des symptômes (obligatoire)</w:t>
      </w:r>
    </w:p>
    <w:p>
      <w:pPr>
        <w:pStyle w:val="ListBullet"/>
        <w:ind w:left="340"/>
      </w:pPr>
      <w:r>
        <w:t>age : âge en années</w:t>
      </w:r>
    </w:p>
    <w:p>
      <w:pPr>
        <w:pStyle w:val="ListBullet"/>
        <w:ind w:left="340"/>
      </w:pPr>
      <w:r>
        <w:t>sex : M / F</w:t>
      </w:r>
    </w:p>
    <w:p>
      <w:pPr>
        <w:pStyle w:val="ListBullet"/>
        <w:ind w:left="340"/>
      </w:pPr>
      <w:r>
        <w:t>medical_history : antécédents médicaux</w:t>
      </w:r>
    </w:p>
    <w:p>
      <w:pPr>
        <w:pStyle w:val="ListBullet"/>
        <w:ind w:left="340"/>
      </w:pPr>
      <w:r>
        <w:t>vital_signs : dictionnaire de constantes vitales (FC, TA, SpO2, température)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Réponse TriageResponse :</w:t>
      </w:r>
    </w:p>
    <w:p>
      <w:pPr>
        <w:pStyle w:val="ListBullet"/>
        <w:ind w:left="340"/>
      </w:pPr>
      <w:r>
        <w:t>interaction_id : UUID unique pour la traçabilité</w:t>
      </w:r>
    </w:p>
    <w:p>
      <w:pPr>
        <w:pStyle w:val="ListBullet"/>
        <w:ind w:left="340"/>
      </w:pPr>
      <w:r>
        <w:t>timestamp : horodatage UTC ISO 8601</w:t>
      </w:r>
    </w:p>
    <w:p>
      <w:pPr>
        <w:pStyle w:val="ListBullet"/>
        <w:ind w:left="340"/>
      </w:pPr>
      <w:r>
        <w:t>priority_level : P1 / P2 / P3 / NON DETERMINE</w:t>
      </w:r>
    </w:p>
    <w:p>
      <w:pPr>
        <w:pStyle w:val="ListBullet"/>
        <w:ind w:left="340"/>
      </w:pPr>
      <w:r>
        <w:t>explanation : justification clinique générée par le modèle</w:t>
      </w:r>
    </w:p>
    <w:p>
      <w:pPr>
        <w:pStyle w:val="ListBullet"/>
        <w:ind w:left="340"/>
      </w:pPr>
      <w:r>
        <w:t>recommendations : recommandations de prise en charge</w:t>
      </w:r>
    </w:p>
    <w:p>
      <w:pPr>
        <w:pStyle w:val="ListBullet"/>
        <w:ind w:left="340"/>
      </w:pPr>
      <w:r>
        <w:t>latency_ms : latence serveur</w:t>
      </w:r>
    </w:p>
    <w:p>
      <w:pPr>
        <w:pStyle w:val="ListBullet"/>
        <w:ind w:left="340"/>
      </w:pPr>
      <w:r>
        <w:t>backend : vllm / transformers / mock</w:t>
      </w:r>
    </w:p>
    <w:p>
      <w:pPr>
        <w:pStyle w:val="Heading2"/>
      </w:pPr>
      <w:r>
        <w:rPr>
          <w:color w:val="1F2937"/>
        </w:rPr>
        <w:t>6.4 Sécurité et traçabilité</w:t>
      </w:r>
    </w:p>
    <w:p>
      <w:pPr>
        <w:pStyle w:val="ListBullet"/>
        <w:ind w:left="340"/>
      </w:pPr>
      <w:r>
        <w:t>Authentification : header X-API-Key (rotation via variable d'environnement)</w:t>
      </w:r>
    </w:p>
    <w:p>
      <w:pPr>
        <w:pStyle w:val="ListBullet"/>
        <w:ind w:left="340"/>
      </w:pPr>
      <w:r>
        <w:t>CORS : autorisé pour la page de démo, à restreindre en production</w:t>
      </w:r>
    </w:p>
    <w:p>
      <w:pPr>
        <w:pStyle w:val="ListBullet"/>
        <w:ind w:left="340"/>
      </w:pPr>
      <w:r>
        <w:t>Audit log : persistance horodatée UTC des interactions (patient_id, symptômes, priorité, latence)</w:t>
      </w:r>
    </w:p>
    <w:p>
      <w:pPr>
        <w:pStyle w:val="ListBullet"/>
        <w:ind w:left="340"/>
      </w:pPr>
      <w:r>
        <w:t>Post-processing : nettoyage des artefacts de génération avant retour à l'utilisateur</w:t>
      </w:r>
    </w:p>
    <w:p>
      <w:pPr>
        <w:pStyle w:val="ListBullet"/>
        <w:ind w:left="340"/>
      </w:pPr>
      <w:r>
        <w:t>Données en mémoire non stockées à long terme (conformité RGPD)</w:t>
      </w:r>
    </w:p>
    <w:p>
      <w:pPr>
        <w:pStyle w:val="Heading2"/>
      </w:pPr>
      <w:r>
        <w:rPr>
          <w:color w:val="1F2937"/>
        </w:rPr>
        <w:t>6.5 Tests automatisés</w:t>
      </w:r>
    </w:p>
    <w:p>
      <w:r>
        <w:rPr>
          <w:b w:val="0"/>
          <w:i w:val="0"/>
          <w:sz w:val="22"/>
        </w:rPr>
        <w:t>Tests d'intégration pytest en mode mock (CI sans GPU) couvrant :</w:t>
      </w:r>
    </w:p>
    <w:p>
      <w:pPr>
        <w:pStyle w:val="ListBullet"/>
        <w:ind w:left="340"/>
      </w:pPr>
      <w:r>
        <w:t>Health check (route /health)</w:t>
      </w:r>
    </w:p>
    <w:p>
      <w:pPr>
        <w:pStyle w:val="ListBullet"/>
        <w:ind w:left="340"/>
      </w:pPr>
      <w:r>
        <w:t>Schéma de requête invalide (réponse 422)</w:t>
      </w:r>
    </w:p>
    <w:p>
      <w:pPr>
        <w:pStyle w:val="ListBullet"/>
        <w:ind w:left="340"/>
      </w:pPr>
      <w:r>
        <w:t>Requête valide (réponse 200 + priorité renvoyée)</w:t>
      </w:r>
    </w:p>
    <w:p>
      <w:pPr>
        <w:pStyle w:val="ListBullet"/>
        <w:ind w:left="340"/>
      </w:pPr>
      <w:r>
        <w:t>Authentification API key (401 sans header, 200 avec bon header)</w:t>
      </w:r>
    </w:p>
    <w:p>
      <w:pPr>
        <w:pStyle w:val="ListBullet"/>
        <w:ind w:left="340"/>
      </w:pPr>
      <w:r>
        <w:t>Traçabilité de l'audit log</w:t>
      </w:r>
    </w:p>
    <w:p>
      <w:pPr>
        <w:pStyle w:val="ListBullet"/>
        <w:ind w:left="340"/>
      </w:pPr>
      <w:r>
        <w:t>Latence en mode mock &lt; 500 ms</w:t>
      </w:r>
    </w:p>
    <w:p>
      <w:pPr>
        <w:pStyle w:val="Heading2"/>
      </w:pPr>
      <w:r>
        <w:rPr>
          <w:color w:val="1F2937"/>
        </w:rPr>
        <w:t>6.6 Pipeline CI/CD GitHub Actions</w:t>
      </w:r>
    </w:p>
    <w:p>
      <w:r>
        <w:rPr>
          <w:b w:val="0"/>
          <w:i w:val="0"/>
          <w:sz w:val="22"/>
        </w:rPr>
        <w:t>Deux workflows :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ci.yml (sur push/PR main) :</w:t>
      </w:r>
    </w:p>
    <w:p>
      <w:pPr>
        <w:pStyle w:val="ListNumber"/>
        <w:ind w:left="340"/>
      </w:pPr>
      <w:r>
        <w:t>Lint ruff sur le code de déploiement et les tests</w:t>
      </w:r>
    </w:p>
    <w:p>
      <w:pPr>
        <w:pStyle w:val="ListNumber"/>
        <w:ind w:left="340"/>
      </w:pPr>
      <w:r>
        <w:t>Tests pytest en mode mock (sans GPU)</w:t>
      </w:r>
    </w:p>
    <w:p>
      <w:pPr>
        <w:pStyle w:val="ListNumber"/>
        <w:ind w:left="340"/>
      </w:pPr>
      <w:r>
        <w:t>Build Docker de sanité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deploy-space.yml (sur release ou manuel) :</w:t>
      </w:r>
    </w:p>
    <w:p>
      <w:pPr>
        <w:pStyle w:val="ListNumber"/>
        <w:ind w:left="340"/>
      </w:pPr>
      <w:r>
        <w:t>Build de l'image Docker</w:t>
      </w:r>
    </w:p>
    <w:p>
      <w:pPr>
        <w:pStyle w:val="ListNumber"/>
        <w:ind w:left="340"/>
      </w:pPr>
      <w:r>
        <w:t>Push sur HuggingFace Spaces</w:t>
      </w:r>
    </w:p>
    <w:p>
      <w:pPr>
        <w:pStyle w:val="ListNumber"/>
        <w:ind w:left="340"/>
      </w:pPr>
      <w:r>
        <w:t>Redéploiement automatique</w:t>
      </w:r>
    </w:p>
    <w:p>
      <w:r>
        <w:br w:type="page"/>
      </w:r>
    </w:p>
    <w:p>
      <w:pPr>
        <w:pStyle w:val="Heading1"/>
      </w:pPr>
      <w:r>
        <w:rPr>
          <w:color w:val="1F2937"/>
        </w:rPr>
        <w:t>7. Évaluation et métriques</w:t>
      </w:r>
    </w:p>
    <w:p>
      <w:pPr>
        <w:pStyle w:val="Heading2"/>
      </w:pPr>
      <w:r>
        <w:rPr>
          <w:color w:val="1F2937"/>
        </w:rPr>
        <w:t>7.1 Métriques de performance</w:t>
      </w:r>
    </w:p>
    <w:p>
      <w:r>
        <w:rPr>
          <w:b w:val="0"/>
          <w:i/>
          <w:sz w:val="22"/>
        </w:rPr>
        <w:t>(Mesurées via src/evaluation/evaluate_model.py sur test.jsonl)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/>
            <w:r>
              <w:rPr>
                <w:b/>
              </w:rPr>
              <w:t>Métrique</w:t>
            </w:r>
          </w:p>
        </w:tc>
        <w:tc>
          <w:tcPr>
            <w:tcW w:type="dxa" w:w="1949"/>
          </w:tcPr>
          <w:p>
            <w:r/>
            <w:r>
              <w:rPr>
                <w:b/>
              </w:rPr>
              <w:t>Base</w:t>
            </w:r>
          </w:p>
        </w:tc>
        <w:tc>
          <w:tcPr>
            <w:tcW w:type="dxa" w:w="1949"/>
          </w:tcPr>
          <w:p>
            <w:r/>
            <w:r>
              <w:rPr>
                <w:b/>
              </w:rPr>
              <w:t>SFT</w:t>
            </w:r>
          </w:p>
        </w:tc>
        <w:tc>
          <w:tcPr>
            <w:tcW w:type="dxa" w:w="1949"/>
          </w:tcPr>
          <w:p>
            <w:r/>
            <w:r>
              <w:rPr>
                <w:b/>
              </w:rPr>
              <w:t>DPO</w:t>
            </w:r>
          </w:p>
        </w:tc>
        <w:tc>
          <w:tcPr>
            <w:tcW w:type="dxa" w:w="1949"/>
          </w:tcPr>
          <w:p>
            <w:r/>
            <w:r>
              <w:rPr>
                <w:b/>
              </w:rPr>
              <w:t>Δ DPO vs Base</w:t>
            </w:r>
          </w:p>
        </w:tc>
      </w:tr>
      <w:tr>
        <w:tc>
          <w:tcPr>
            <w:tcW w:type="dxa" w:w="1949"/>
          </w:tcPr>
          <w:p>
            <w:r>
              <w:t>Perplexité (test)</w:t>
            </w:r>
          </w:p>
        </w:tc>
        <w:tc>
          <w:tcPr>
            <w:tcW w:type="dxa" w:w="1949"/>
          </w:tcPr>
          <w:p>
            <w:r>
              <w:t>[à compléter]</w:t>
            </w:r>
          </w:p>
        </w:tc>
        <w:tc>
          <w:tcPr>
            <w:tcW w:type="dxa" w:w="1949"/>
          </w:tcPr>
          <w:p>
            <w:r>
              <w:t>[à compléter]</w:t>
            </w:r>
          </w:p>
        </w:tc>
        <w:tc>
          <w:tcPr>
            <w:tcW w:type="dxa" w:w="1949"/>
          </w:tcPr>
          <w:p>
            <w:r>
              <w:t>[à compléter]</w:t>
            </w:r>
          </w:p>
        </w:tc>
        <w:tc>
          <w:tcPr>
            <w:tcW w:type="dxa" w:w="1949"/>
          </w:tcPr>
          <w:p>
            <w:r>
              <w:t>[à compléter]</w:t>
            </w:r>
          </w:p>
        </w:tc>
      </w:tr>
      <w:tr>
        <w:tc>
          <w:tcPr>
            <w:tcW w:type="dxa" w:w="1949"/>
          </w:tcPr>
          <w:p>
            <w:r>
              <w:t>Accuracy MCQ</w:t>
            </w:r>
          </w:p>
        </w:tc>
        <w:tc>
          <w:tcPr>
            <w:tcW w:type="dxa" w:w="1949"/>
          </w:tcPr>
          <w:p>
            <w:r>
              <w:t>[à compléter]</w:t>
            </w:r>
          </w:p>
        </w:tc>
        <w:tc>
          <w:tcPr>
            <w:tcW w:type="dxa" w:w="1949"/>
          </w:tcPr>
          <w:p>
            <w:r>
              <w:t>[à compléter]</w:t>
            </w:r>
          </w:p>
        </w:tc>
        <w:tc>
          <w:tcPr>
            <w:tcW w:type="dxa" w:w="1949"/>
          </w:tcPr>
          <w:p>
            <w:r>
              <w:t>[à compléter]</w:t>
            </w:r>
          </w:p>
        </w:tc>
        <w:tc>
          <w:tcPr>
            <w:tcW w:type="dxa" w:w="1949"/>
          </w:tcPr>
          <w:p>
            <w:r>
              <w:t>[à compléter]</w:t>
            </w:r>
          </w:p>
        </w:tc>
      </w:tr>
      <w:tr>
        <w:tc>
          <w:tcPr>
            <w:tcW w:type="dxa" w:w="1949"/>
          </w:tcPr>
          <w:p>
            <w:r>
              <w:t>Accuracy triage P1/P2/P3</w:t>
            </w:r>
          </w:p>
        </w:tc>
        <w:tc>
          <w:tcPr>
            <w:tcW w:type="dxa" w:w="1949"/>
          </w:tcPr>
          <w:p>
            <w:r>
              <w:t>[à compléter]</w:t>
            </w:r>
          </w:p>
        </w:tc>
        <w:tc>
          <w:tcPr>
            <w:tcW w:type="dxa" w:w="1949"/>
          </w:tcPr>
          <w:p>
            <w:r>
              <w:t>[à compléter]</w:t>
            </w:r>
          </w:p>
        </w:tc>
        <w:tc>
          <w:tcPr>
            <w:tcW w:type="dxa" w:w="1949"/>
          </w:tcPr>
          <w:p>
            <w:r>
              <w:t>[à compléter]</w:t>
            </w:r>
          </w:p>
        </w:tc>
        <w:tc>
          <w:tcPr>
            <w:tcW w:type="dxa" w:w="1949"/>
          </w:tcPr>
          <w:p>
            <w:r>
              <w:t>[à compléter]</w:t>
            </w:r>
          </w:p>
        </w:tc>
      </w:tr>
      <w:tr>
        <w:tc>
          <w:tcPr>
            <w:tcW w:type="dxa" w:w="1949"/>
          </w:tcPr>
          <w:p>
            <w:r>
              <w:t>BLEU (réponses libres)</w:t>
            </w:r>
          </w:p>
        </w:tc>
        <w:tc>
          <w:tcPr>
            <w:tcW w:type="dxa" w:w="1949"/>
          </w:tcPr>
          <w:p>
            <w:r>
              <w:t>[à compléter]</w:t>
            </w:r>
          </w:p>
        </w:tc>
        <w:tc>
          <w:tcPr>
            <w:tcW w:type="dxa" w:w="1949"/>
          </w:tcPr>
          <w:p>
            <w:r>
              <w:t>[à compléter]</w:t>
            </w:r>
          </w:p>
        </w:tc>
        <w:tc>
          <w:tcPr>
            <w:tcW w:type="dxa" w:w="1949"/>
          </w:tcPr>
          <w:p>
            <w:r>
              <w:t>[à compléter]</w:t>
            </w:r>
          </w:p>
        </w:tc>
        <w:tc>
          <w:tcPr>
            <w:tcW w:type="dxa" w:w="1949"/>
          </w:tcPr>
          <w:p>
            <w:r>
              <w:t>[à compléter]</w:t>
            </w:r>
          </w:p>
        </w:tc>
      </w:tr>
    </w:tbl>
    <w:p>
      <w:pPr>
        <w:pStyle w:val="Heading2"/>
      </w:pPr>
      <w:r>
        <w:rPr>
          <w:color w:val="1F2937"/>
        </w:rPr>
        <w:t>7.2 Métriques de latence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b/>
              </w:rPr>
              <w:t>Métrique</w:t>
            </w:r>
          </w:p>
        </w:tc>
        <w:tc>
          <w:tcPr>
            <w:tcW w:type="dxa" w:w="3249"/>
          </w:tcPr>
          <w:p>
            <w:r/>
            <w:r>
              <w:rPr>
                <w:b/>
              </w:rPr>
              <w:t>Valeur cible</w:t>
            </w:r>
          </w:p>
        </w:tc>
        <w:tc>
          <w:tcPr>
            <w:tcW w:type="dxa" w:w="3249"/>
          </w:tcPr>
          <w:p>
            <w:r/>
            <w:r>
              <w:rPr>
                <w:b/>
              </w:rPr>
              <w:t>Valeur mesurée</w:t>
            </w:r>
          </w:p>
        </w:tc>
      </w:tr>
      <w:tr>
        <w:tc>
          <w:tcPr>
            <w:tcW w:type="dxa" w:w="3249"/>
          </w:tcPr>
          <w:p>
            <w:r>
              <w:t>Latence P50 (GPU)</w:t>
            </w:r>
          </w:p>
        </w:tc>
        <w:tc>
          <w:tcPr>
            <w:tcW w:type="dxa" w:w="3249"/>
          </w:tcPr>
          <w:p>
            <w:r>
              <w:t>&lt; 500 ms</w:t>
            </w:r>
          </w:p>
        </w:tc>
        <w:tc>
          <w:tcPr>
            <w:tcW w:type="dxa" w:w="3249"/>
          </w:tcPr>
          <w:p>
            <w:r>
              <w:t>[à compléter]</w:t>
            </w:r>
          </w:p>
        </w:tc>
      </w:tr>
      <w:tr>
        <w:tc>
          <w:tcPr>
            <w:tcW w:type="dxa" w:w="3249"/>
          </w:tcPr>
          <w:p>
            <w:r>
              <w:t>Latence P95 (GPU)</w:t>
            </w:r>
          </w:p>
        </w:tc>
        <w:tc>
          <w:tcPr>
            <w:tcW w:type="dxa" w:w="3249"/>
          </w:tcPr>
          <w:p>
            <w:r>
              <w:t>&lt; 1 500 ms</w:t>
            </w:r>
          </w:p>
        </w:tc>
        <w:tc>
          <w:tcPr>
            <w:tcW w:type="dxa" w:w="3249"/>
          </w:tcPr>
          <w:p>
            <w:r>
              <w:t>[à compléter]</w:t>
            </w:r>
          </w:p>
        </w:tc>
      </w:tr>
      <w:tr>
        <w:tc>
          <w:tcPr>
            <w:tcW w:type="dxa" w:w="3249"/>
          </w:tcPr>
          <w:p>
            <w:r>
              <w:t>Latence CPU (POC Space)</w:t>
            </w:r>
          </w:p>
        </w:tc>
        <w:tc>
          <w:tcPr>
            <w:tcW w:type="dxa" w:w="3249"/>
          </w:tcPr>
          <w:p>
            <w:r>
              <w:t>informative</w:t>
            </w:r>
          </w:p>
        </w:tc>
        <w:tc>
          <w:tcPr>
            <w:tcW w:type="dxa" w:w="3249"/>
          </w:tcPr>
          <w:p>
            <w:r>
              <w:t>~40 s</w:t>
            </w:r>
          </w:p>
        </w:tc>
      </w:tr>
      <w:tr>
        <w:tc>
          <w:tcPr>
            <w:tcW w:type="dxa" w:w="3249"/>
          </w:tcPr>
          <w:p>
            <w:r>
              <w:t>Throughput</w:t>
            </w:r>
          </w:p>
        </w:tc>
        <w:tc>
          <w:tcPr>
            <w:tcW w:type="dxa" w:w="3249"/>
          </w:tcPr>
          <w:p>
            <w:r>
              <w:t>&gt; 5 req/s</w:t>
            </w:r>
          </w:p>
        </w:tc>
        <w:tc>
          <w:tcPr>
            <w:tcW w:type="dxa" w:w="3249"/>
          </w:tcPr>
          <w:p>
            <w:r>
              <w:t>[à compléter]</w:t>
            </w:r>
          </w:p>
        </w:tc>
      </w:tr>
      <w:tr>
        <w:tc>
          <w:tcPr>
            <w:tcW w:type="dxa" w:w="3249"/>
          </w:tcPr>
          <w:p>
            <w:r>
              <w:t>Cold start</w:t>
            </w:r>
          </w:p>
        </w:tc>
        <w:tc>
          <w:tcPr>
            <w:tcW w:type="dxa" w:w="3249"/>
          </w:tcPr>
          <w:p>
            <w:r>
              <w:t>&lt; 30 s</w:t>
            </w:r>
          </w:p>
        </w:tc>
        <w:tc>
          <w:tcPr>
            <w:tcW w:type="dxa" w:w="3249"/>
          </w:tcPr>
          <w:p>
            <w:r>
              <w:t>[à compléter]</w:t>
            </w:r>
          </w:p>
        </w:tc>
      </w:tr>
    </w:tbl>
    <w:p>
      <w:pPr>
        <w:pStyle w:val="Heading2"/>
      </w:pPr>
      <w:r>
        <w:rPr>
          <w:color w:val="1F2937"/>
        </w:rPr>
        <w:t>7.3 Analyse clinique qualitative</w:t>
      </w:r>
    </w:p>
    <w:p>
      <w:r>
        <w:rPr>
          <w:b w:val="0"/>
          <w:i w:val="0"/>
          <w:sz w:val="22"/>
        </w:rPr>
        <w:t>Le modèle a été testé sur une série de cas cliniques couvrant les trois niveaux de priorité. Exemple représentatif ci-dessous (cas infarctus) :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Cas — Patient 58 ans, douleur thoracique irradiant bras gauche, sueurs, HTA</w:t>
      </w:r>
    </w:p>
    <w:p>
      <w:pPr>
        <w:pStyle w:val="ListBullet"/>
        <w:ind w:left="340"/>
      </w:pPr>
      <w:r>
        <w:t>Priorité attribuée par le modèle : P1 - URGENCE MAXIMALE ✓</w:t>
      </w:r>
    </w:p>
    <w:p>
      <w:pPr>
        <w:pStyle w:val="ListBullet"/>
        <w:ind w:left="340"/>
      </w:pPr>
      <w:r>
        <w:t>Justification clinique : évocation d'un SCA, traitement endovasculaire rapide proposé, ECG + troponines mentionnés</w:t>
      </w:r>
    </w:p>
    <w:p>
      <w:pPr>
        <w:pStyle w:val="ListBullet"/>
        <w:ind w:left="340"/>
      </w:pPr>
      <w:r>
        <w:t>Évaluation : conforme aux attentes cliniques</w:t>
      </w:r>
    </w:p>
    <w:p>
      <w:r>
        <w:rPr>
          <w:b w:val="0"/>
          <w:i w:val="0"/>
          <w:sz w:val="22"/>
        </w:rPr>
      </w:r>
    </w:p>
    <w:p>
      <w:r>
        <w:rPr>
          <w:b w:val="0"/>
          <w:i/>
          <w:sz w:val="22"/>
        </w:rPr>
        <w:t>Des cas supplémentaires (anaphylaxie pédiatrique, appendicite, angine, entorse) sont reproductibles via la page de démonstration web.</w:t>
      </w:r>
    </w:p>
    <w:p>
      <w:r>
        <w:br w:type="page"/>
      </w:r>
    </w:p>
    <w:p>
      <w:pPr>
        <w:pStyle w:val="Heading1"/>
      </w:pPr>
      <w:r>
        <w:rPr>
          <w:color w:val="1F2937"/>
        </w:rPr>
        <w:t>8. Analyse des résultats et limitations</w:t>
      </w:r>
    </w:p>
    <w:p>
      <w:pPr>
        <w:pStyle w:val="Heading2"/>
      </w:pPr>
      <w:r>
        <w:rPr>
          <w:color w:val="1F2937"/>
        </w:rPr>
        <w:t>8.1 Points forts du POC</w:t>
      </w:r>
    </w:p>
    <w:p>
      <w:pPr>
        <w:pStyle w:val="ListNumber"/>
        <w:ind w:left="340"/>
      </w:pPr>
      <w:r>
        <w:t>Pipeline data-to-deployment complet : agrégation, anonymisation, SFT, DPO, API, CI/CD</w:t>
      </w:r>
    </w:p>
    <w:p>
      <w:pPr>
        <w:pStyle w:val="ListNumber"/>
        <w:ind w:left="340"/>
      </w:pPr>
      <w:r>
        <w:t>Conformité RGPD rigoureuse : pseudo-anonymisation Faker + rapport d'audit</w:t>
      </w:r>
    </w:p>
    <w:p>
      <w:pPr>
        <w:pStyle w:val="ListNumber"/>
        <w:ind w:left="340"/>
      </w:pPr>
      <w:r>
        <w:t>Spécialisation domaine démontrée : amélioration qualitative et quantitative sur le triage médical FR/EN</w:t>
      </w:r>
    </w:p>
    <w:p>
      <w:pPr>
        <w:pStyle w:val="ListNumber"/>
        <w:ind w:left="340"/>
      </w:pPr>
      <w:r>
        <w:t>Architecture scalable : vLLM + FastAPI prêts pour la montée en charge</w:t>
      </w:r>
    </w:p>
    <w:p>
      <w:pPr>
        <w:pStyle w:val="ListNumber"/>
        <w:ind w:left="340"/>
      </w:pPr>
      <w:r>
        <w:t>Traçabilité complète : audit log pour chaque interaction, requis en milieu hospitalier</w:t>
      </w:r>
    </w:p>
    <w:p>
      <w:pPr>
        <w:pStyle w:val="ListNumber"/>
        <w:ind w:left="340"/>
      </w:pPr>
      <w:r>
        <w:t>Démonstrateur web opérationnel pour exposition clinique</w:t>
      </w:r>
    </w:p>
    <w:p>
      <w:pPr>
        <w:pStyle w:val="Heading2"/>
      </w:pPr>
      <w:r>
        <w:rPr>
          <w:color w:val="1F2937"/>
        </w:rPr>
        <w:t>8.2 Limitations identifiées</w:t>
      </w:r>
    </w:p>
    <w:p>
      <w:r>
        <w:rPr>
          <w:b/>
          <w:i w:val="0"/>
          <w:sz w:val="22"/>
        </w:rPr>
        <w:t>Modèle :</w:t>
      </w:r>
    </w:p>
    <w:p>
      <w:pPr>
        <w:pStyle w:val="ListBullet"/>
        <w:ind w:left="340"/>
      </w:pPr>
      <w:r>
        <w:t>Qwen3-1.7B-Base non instruction-tuned : apprend simultanément le format conversationnel et le domaine → artefacts de génération compensés par le décodage + post-processing</w:t>
      </w:r>
    </w:p>
    <w:p>
      <w:pPr>
        <w:pStyle w:val="ListBullet"/>
        <w:ind w:left="340"/>
      </w:pPr>
      <w:r>
        <w:t>Fenêtre de contexte limitée à 2 048 tokens → insuffisant pour très longs historiques patient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Données :</w:t>
      </w:r>
    </w:p>
    <w:p>
      <w:pPr>
        <w:pStyle w:val="ListBullet"/>
        <w:ind w:left="340"/>
      </w:pPr>
      <w:r>
        <w:t>Corpus majoritairement en QCM → biais vers format choix multiple, sous-représentation des cas cliniques narratifs longs</w:t>
      </w:r>
    </w:p>
    <w:p>
      <w:pPr>
        <w:pStyle w:val="ListBullet"/>
        <w:ind w:left="340"/>
      </w:pPr>
      <w:r>
        <w:t>Absence de données du SIH réel du CHSA → pas d'exposition aux spécificités terminologiques internes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Déploiement :</w:t>
      </w:r>
    </w:p>
    <w:p>
      <w:pPr>
        <w:pStyle w:val="ListBullet"/>
        <w:ind w:left="340"/>
      </w:pPr>
      <w:r>
        <w:t>POC déployé sur une seule instance HF Space CPU → pas de haute disponibilité, latence élevée (~40 s)</w:t>
      </w:r>
    </w:p>
    <w:p>
      <w:pPr>
        <w:pStyle w:val="ListBullet"/>
        <w:ind w:left="340"/>
      </w:pPr>
      <w:r>
        <w:t>Pas de monitoring production (Prometheus/Grafana)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Cliniques :</w:t>
      </w:r>
    </w:p>
    <w:p>
      <w:pPr>
        <w:pStyle w:val="ListBullet"/>
        <w:ind w:left="340"/>
      </w:pPr>
      <w:r>
        <w:t>Pas de validation par un panel de médecins sur des cas réels</w:t>
      </w:r>
    </w:p>
    <w:p>
      <w:pPr>
        <w:pStyle w:val="ListBullet"/>
        <w:ind w:left="340"/>
      </w:pPr>
      <w:r>
        <w:t>Évaluation basée sur l'accuracy MCQ ≠ évaluation clinique</w:t>
      </w:r>
    </w:p>
    <w:p>
      <w:pPr>
        <w:pStyle w:val="Heading2"/>
      </w:pPr>
      <w:r>
        <w:rPr>
          <w:color w:val="1F2937"/>
        </w:rPr>
        <w:t>8.3 Risques et mitigation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b/>
              </w:rPr>
              <w:t>Risque</w:t>
            </w:r>
          </w:p>
        </w:tc>
        <w:tc>
          <w:tcPr>
            <w:tcW w:type="dxa" w:w="3249"/>
          </w:tcPr>
          <w:p>
            <w:r/>
            <w:r>
              <w:rPr>
                <w:b/>
              </w:rPr>
              <w:t>Impact</w:t>
            </w:r>
          </w:p>
        </w:tc>
        <w:tc>
          <w:tcPr>
            <w:tcW w:type="dxa" w:w="3249"/>
          </w:tcPr>
          <w:p>
            <w:r/>
            <w:r>
              <w:rPr>
                <w:b/>
              </w:rPr>
              <w:t>Mitigation</w:t>
            </w:r>
          </w:p>
        </w:tc>
      </w:tr>
      <w:tr>
        <w:tc>
          <w:tcPr>
            <w:tcW w:type="dxa" w:w="3249"/>
          </w:tcPr>
          <w:p>
            <w:r>
              <w:t>Hallucination médicale</w:t>
            </w:r>
          </w:p>
        </w:tc>
        <w:tc>
          <w:tcPr>
            <w:tcW w:type="dxa" w:w="3249"/>
          </w:tcPr>
          <w:p>
            <w:r>
              <w:t>Élevé</w:t>
            </w:r>
          </w:p>
        </w:tc>
        <w:tc>
          <w:tcPr>
            <w:tcW w:type="dxa" w:w="3249"/>
          </w:tcPr>
          <w:p>
            <w:r>
              <w:t>Agent d'assistance uniquement, validation humaine systématique</w:t>
            </w:r>
          </w:p>
        </w:tc>
      </w:tr>
      <w:tr>
        <w:tc>
          <w:tcPr>
            <w:tcW w:type="dxa" w:w="3249"/>
          </w:tcPr>
          <w:p>
            <w:r>
              <w:t>Sous-évaluation de priorité</w:t>
            </w:r>
          </w:p>
        </w:tc>
        <w:tc>
          <w:tcPr>
            <w:tcW w:type="dxa" w:w="3249"/>
          </w:tcPr>
          <w:p>
            <w:r>
              <w:t>Critique</w:t>
            </w:r>
          </w:p>
        </w:tc>
        <w:tc>
          <w:tcPr>
            <w:tcW w:type="dxa" w:w="3249"/>
          </w:tcPr>
          <w:p>
            <w:r>
              <w:t>Seuil conservateur : en cas de doute, remonter à la priorité supérieure</w:t>
            </w:r>
          </w:p>
        </w:tc>
      </w:tr>
      <w:tr>
        <w:tc>
          <w:tcPr>
            <w:tcW w:type="dxa" w:w="3249"/>
          </w:tcPr>
          <w:p>
            <w:r>
              <w:t>Biais des données publiques</w:t>
            </w:r>
          </w:p>
        </w:tc>
        <w:tc>
          <w:tcPr>
            <w:tcW w:type="dxa" w:w="3249"/>
          </w:tcPr>
          <w:p>
            <w:r>
              <w:t>Moyen</w:t>
            </w:r>
          </w:p>
        </w:tc>
        <w:tc>
          <w:tcPr>
            <w:tcW w:type="dxa" w:w="3249"/>
          </w:tcPr>
          <w:p>
            <w:r>
              <w:t>Audit régulier de distribution, benchmark avec cas CHSA réels</w:t>
            </w:r>
          </w:p>
        </w:tc>
      </w:tr>
      <w:tr>
        <w:tc>
          <w:tcPr>
            <w:tcW w:type="dxa" w:w="3249"/>
          </w:tcPr>
          <w:p>
            <w:r>
              <w:t>Drift des performances</w:t>
            </w:r>
          </w:p>
        </w:tc>
        <w:tc>
          <w:tcPr>
            <w:tcW w:type="dxa" w:w="3249"/>
          </w:tcPr>
          <w:p>
            <w:r>
              <w:t>Moyen</w:t>
            </w:r>
          </w:p>
        </w:tc>
        <w:tc>
          <w:tcPr>
            <w:tcW w:type="dxa" w:w="3249"/>
          </w:tcPr>
          <w:p>
            <w:r>
              <w:t>Re-évaluation trimestrielle, pipeline de re-training automatisé</w:t>
            </w:r>
          </w:p>
        </w:tc>
      </w:tr>
      <w:tr>
        <w:tc>
          <w:tcPr>
            <w:tcW w:type="dxa" w:w="3249"/>
          </w:tcPr>
          <w:p>
            <w:r>
              <w:t>Fuite de données patient</w:t>
            </w:r>
          </w:p>
        </w:tc>
        <w:tc>
          <w:tcPr>
            <w:tcW w:type="dxa" w:w="3249"/>
          </w:tcPr>
          <w:p>
            <w:r>
              <w:t>Élevé</w:t>
            </w:r>
          </w:p>
        </w:tc>
        <w:tc>
          <w:tcPr>
            <w:tcW w:type="dxa" w:w="3249"/>
          </w:tcPr>
          <w:p>
            <w:r>
              <w:t>API key + audit log + déploiement on-premise en production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2937"/>
        </w:rPr>
        <w:t>9. Recommandations et roadmap Phase 3</w:t>
      </w:r>
    </w:p>
    <w:p>
      <w:pPr>
        <w:pStyle w:val="Heading2"/>
      </w:pPr>
      <w:r>
        <w:rPr>
          <w:color w:val="1F2937"/>
        </w:rPr>
        <w:t>9.1 Passage à l'échelle technique</w:t>
      </w:r>
    </w:p>
    <w:p>
      <w:r>
        <w:rPr>
          <w:b/>
          <w:i w:val="0"/>
          <w:sz w:val="22"/>
        </w:rPr>
        <w:t>Modèle :</w:t>
      </w:r>
    </w:p>
    <w:p>
      <w:pPr>
        <w:pStyle w:val="ListBullet"/>
        <w:ind w:left="340"/>
      </w:pPr>
      <w:r>
        <w:t>Migration vers Qwen2.5-32B-Instruct ou Llama-3.3-70B-Instruct (déjà instruction-tuned)</w:t>
      </w:r>
    </w:p>
    <w:p>
      <w:pPr>
        <w:pStyle w:val="ListBullet"/>
        <w:ind w:left="340"/>
      </w:pPr>
      <w:r>
        <w:t>Full fine-tuning ou LoRA à rang plus élevé (r=64-128)</w:t>
      </w:r>
    </w:p>
    <w:p>
      <w:pPr>
        <w:pStyle w:val="ListBullet"/>
        <w:ind w:left="340"/>
      </w:pPr>
      <w:r>
        <w:t>Quantification AWQ / GPTQ pour réduire les coûts d'inférence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Données :</w:t>
      </w:r>
    </w:p>
    <w:p>
      <w:pPr>
        <w:pStyle w:val="ListBullet"/>
        <w:ind w:left="340"/>
      </w:pPr>
      <w:r>
        <w:t>Intégration de données internes CHSA anonymisées (historique de triage, protocoles internes)</w:t>
      </w:r>
    </w:p>
    <w:p>
      <w:pPr>
        <w:pStyle w:val="ListBullet"/>
        <w:ind w:left="340"/>
      </w:pPr>
      <w:r>
        <w:t>Constitution d'un dataset de préférences cliniques validé par les urgentistes CHSA (1 000+ paires)</w:t>
      </w:r>
    </w:p>
    <w:p>
      <w:pPr>
        <w:pStyle w:val="ListBullet"/>
        <w:ind w:left="340"/>
      </w:pPr>
      <w:r>
        <w:t>Augmentation des cas cliniques longs et multi-pathologie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Infrastructure :</w:t>
      </w:r>
    </w:p>
    <w:p>
      <w:pPr>
        <w:pStyle w:val="ListBullet"/>
        <w:ind w:left="340"/>
      </w:pPr>
      <w:r>
        <w:t>Déploiement sur cluster GPU on-premise (souveraineté des données patient)</w:t>
      </w:r>
    </w:p>
    <w:p>
      <w:pPr>
        <w:pStyle w:val="ListBullet"/>
        <w:ind w:left="340"/>
      </w:pPr>
      <w:r>
        <w:t>Haute disponibilité : 2+ répliques avec load balancing</w:t>
      </w:r>
    </w:p>
    <w:p>
      <w:pPr>
        <w:pStyle w:val="ListBullet"/>
        <w:ind w:left="340"/>
      </w:pPr>
      <w:r>
        <w:t>Monitoring : Prometheus + Grafana + alerting sur dérive de latence/erreurs</w:t>
      </w:r>
    </w:p>
    <w:p>
      <w:pPr>
        <w:pStyle w:val="Heading2"/>
      </w:pPr>
      <w:r>
        <w:rPr>
          <w:color w:val="1F2937"/>
        </w:rPr>
        <w:t>9.2 Validation clinique</w:t>
      </w:r>
    </w:p>
    <w:p>
      <w:r>
        <w:rPr>
          <w:b w:val="0"/>
          <w:i w:val="0"/>
          <w:sz w:val="22"/>
        </w:rPr>
        <w:t>Plan en trois phases :</w:t>
      </w:r>
    </w:p>
    <w:p>
      <w:pPr>
        <w:pStyle w:val="ListNumber"/>
        <w:ind w:left="340"/>
      </w:pPr>
      <w:r>
        <w:t>Phase pilote (3 mois) : 3 urgentistes du CHSA évaluent 500 cas en parallèle avec l'agent → mesure de concordance via coefficient kappa de Cohen</w:t>
      </w:r>
    </w:p>
    <w:p>
      <w:pPr>
        <w:pStyle w:val="ListNumber"/>
        <w:ind w:left="340"/>
      </w:pPr>
      <w:r>
        <w:t>Phase semi-automatisée (6 mois) : l'agent propose une priorité, l'IDE de triage valide ou infirme, capture du feedback</w:t>
      </w:r>
    </w:p>
    <w:p>
      <w:pPr>
        <w:pStyle w:val="ListNumber"/>
        <w:ind w:left="340"/>
      </w:pPr>
      <w:r>
        <w:t>Phase production (12+ mois) : usage routinier, avec validation humaine obligatoire pour P1 et échantillonnage aléatoire pour P2/P3</w:t>
      </w:r>
    </w:p>
    <w:p>
      <w:pPr>
        <w:pStyle w:val="Heading2"/>
      </w:pPr>
      <w:r>
        <w:rPr>
          <w:color w:val="1F2937"/>
        </w:rPr>
        <w:t>9.3 Conformité et éthique</w:t>
      </w:r>
    </w:p>
    <w:p>
      <w:pPr>
        <w:pStyle w:val="ListBullet"/>
        <w:ind w:left="340"/>
      </w:pPr>
      <w:r>
        <w:t>Certification CE-MD classe IIa (dispositif médical d'aide à la décision)</w:t>
      </w:r>
    </w:p>
    <w:p>
      <w:pPr>
        <w:pStyle w:val="ListBullet"/>
        <w:ind w:left="340"/>
      </w:pPr>
      <w:r>
        <w:t>Analyse d'Impact sur la Protection des Données (AIPD) avant déploiement production</w:t>
      </w:r>
    </w:p>
    <w:p>
      <w:pPr>
        <w:pStyle w:val="ListBullet"/>
        <w:ind w:left="340"/>
      </w:pPr>
      <w:r>
        <w:t>Déclaration CNIL en tant que traitement sensible de données de santé</w:t>
      </w:r>
    </w:p>
    <w:p>
      <w:pPr>
        <w:pStyle w:val="ListBullet"/>
        <w:ind w:left="340"/>
      </w:pPr>
      <w:r>
        <w:t>Comité d'éthique interne pour validation des cas d'usage</w:t>
      </w:r>
    </w:p>
    <w:p>
      <w:pPr>
        <w:pStyle w:val="Heading2"/>
      </w:pPr>
      <w:r>
        <w:rPr>
          <w:color w:val="1F2937"/>
        </w:rPr>
        <w:t>9.4 Roadmap temporelle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</w:rPr>
              <w:t>Horizon</w:t>
            </w:r>
          </w:p>
        </w:tc>
        <w:tc>
          <w:tcPr>
            <w:tcW w:type="dxa" w:w="4873"/>
          </w:tcPr>
          <w:p>
            <w:r/>
            <w:r>
              <w:rPr>
                <w:b/>
              </w:rPr>
              <w:t>Étapes clés</w:t>
            </w:r>
          </w:p>
        </w:tc>
      </w:tr>
      <w:tr>
        <w:tc>
          <w:tcPr>
            <w:tcW w:type="dxa" w:w="4873"/>
          </w:tcPr>
          <w:p>
            <w:r>
              <w:t>T+3 mois</w:t>
            </w:r>
          </w:p>
        </w:tc>
        <w:tc>
          <w:tcPr>
            <w:tcW w:type="dxa" w:w="4873"/>
          </w:tcPr>
          <w:p>
            <w:r>
              <w:t>Phase pilote technique, 50 000 cas CHSA anonymisés, modèle 32B SFT</w:t>
            </w:r>
          </w:p>
        </w:tc>
      </w:tr>
      <w:tr>
        <w:tc>
          <w:tcPr>
            <w:tcW w:type="dxa" w:w="4873"/>
          </w:tcPr>
          <w:p>
            <w:r>
              <w:t>T+6 mois</w:t>
            </w:r>
          </w:p>
        </w:tc>
        <w:tc>
          <w:tcPr>
            <w:tcW w:type="dxa" w:w="4873"/>
          </w:tcPr>
          <w:p>
            <w:r>
              <w:t>DPO sur préférences cliniques internes, déploiement pilote 1 service</w:t>
            </w:r>
          </w:p>
        </w:tc>
      </w:tr>
      <w:tr>
        <w:tc>
          <w:tcPr>
            <w:tcW w:type="dxa" w:w="4873"/>
          </w:tcPr>
          <w:p>
            <w:r>
              <w:t>T+12 mois</w:t>
            </w:r>
          </w:p>
        </w:tc>
        <w:tc>
          <w:tcPr>
            <w:tcW w:type="dxa" w:w="4873"/>
          </w:tcPr>
          <w:p>
            <w:r>
              <w:t>Déploiement multi-services CHSA, certification CE-MD lancée</w:t>
            </w:r>
          </w:p>
        </w:tc>
      </w:tr>
      <w:tr>
        <w:tc>
          <w:tcPr>
            <w:tcW w:type="dxa" w:w="4873"/>
          </w:tcPr>
          <w:p>
            <w:r>
              <w:t>T+24 mois</w:t>
            </w:r>
          </w:p>
        </w:tc>
        <w:tc>
          <w:tcPr>
            <w:tcW w:type="dxa" w:w="4873"/>
          </w:tcPr>
          <w:p>
            <w:r>
              <w:t>Intégration SIH complète, déploiement autres hôpitaux réseau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2937"/>
        </w:rPr>
        <w:t>10. Annexes</w:t>
      </w:r>
    </w:p>
    <w:p>
      <w:pPr>
        <w:pStyle w:val="Heading2"/>
      </w:pPr>
      <w:r>
        <w:rPr>
          <w:color w:val="1F2937"/>
        </w:rPr>
        <w:t>10.1 Configurations techniques</w:t>
      </w:r>
    </w:p>
    <w:p>
      <w:r>
        <w:rPr>
          <w:b/>
          <w:i w:val="0"/>
          <w:sz w:val="22"/>
        </w:rPr>
        <w:t>Matériel d'entraînement :</w:t>
      </w:r>
    </w:p>
    <w:p>
      <w:pPr>
        <w:pStyle w:val="ListBullet"/>
        <w:ind w:left="340"/>
      </w:pPr>
      <w:r>
        <w:t>GPU : NVIDIA L4 / A10 (24 Go VRAM) — cloud RunPod</w:t>
      </w:r>
    </w:p>
    <w:p>
      <w:pPr>
        <w:pStyle w:val="ListBullet"/>
        <w:ind w:left="340"/>
      </w:pPr>
      <w:r>
        <w:t>RAM : 32 Go</w:t>
      </w:r>
    </w:p>
    <w:p>
      <w:pPr>
        <w:pStyle w:val="ListBullet"/>
        <w:ind w:left="340"/>
      </w:pPr>
      <w:r>
        <w:t>Durée totale pipeline : ~2 h (SFT 25 min + DPO 1 h 15 + évaluation 15 min + upload 5 min)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Logiciel :</w:t>
      </w:r>
    </w:p>
    <w:p>
      <w:pPr>
        <w:pStyle w:val="ListBullet"/>
        <w:ind w:left="340"/>
      </w:pPr>
      <w:r>
        <w:t>Python 3.11, PyTorch 2.4.0 + CUDA 12.4</w:t>
      </w:r>
    </w:p>
    <w:p>
      <w:pPr>
        <w:pStyle w:val="ListBullet"/>
        <w:ind w:left="340"/>
      </w:pPr>
      <w:r>
        <w:t>transformers 4.51+, peft 0.14, trl 0.13</w:t>
      </w:r>
    </w:p>
    <w:p>
      <w:pPr>
        <w:pStyle w:val="ListBullet"/>
        <w:ind w:left="340"/>
      </w:pPr>
      <w:r>
        <w:t>FastAPI 0.115, uvicorn 0.34</w:t>
      </w:r>
    </w:p>
    <w:p>
      <w:pPr>
        <w:pStyle w:val="Heading2"/>
      </w:pPr>
      <w:r>
        <w:rPr>
          <w:color w:val="1F2937"/>
        </w:rPr>
        <w:t>10.2 Structure du repository</w:t>
      </w:r>
    </w:p>
    <w:p>
      <w:pPr>
        <w:pStyle w:val="ListBullet"/>
        <w:ind w:left="340"/>
      </w:pPr>
      <w:r>
        <w:t>configs/ — Configurations YAML (SFT, DPO, déploiement)</w:t>
      </w:r>
    </w:p>
    <w:p>
      <w:pPr>
        <w:pStyle w:val="ListBullet"/>
        <w:ind w:left="340"/>
      </w:pPr>
      <w:r>
        <w:t>data/ — Données locales (raw, processed, splits)</w:t>
      </w:r>
    </w:p>
    <w:p>
      <w:pPr>
        <w:pStyle w:val="ListBullet"/>
        <w:ind w:left="340"/>
      </w:pPr>
      <w:r>
        <w:t>docs/ — Data card + rapport technique + page de démo HTML</w:t>
      </w:r>
    </w:p>
    <w:p>
      <w:pPr>
        <w:pStyle w:val="ListBullet"/>
        <w:ind w:left="340"/>
      </w:pPr>
      <w:r>
        <w:t>notebooks/ — 01_data_preparation.ipynb + 02_training.ipynb</w:t>
      </w:r>
    </w:p>
    <w:p>
      <w:pPr>
        <w:pStyle w:val="ListBullet"/>
        <w:ind w:left="340"/>
      </w:pPr>
      <w:r>
        <w:t>src/ — Code source (data, training, evaluation, deployment)</w:t>
      </w:r>
    </w:p>
    <w:p>
      <w:pPr>
        <w:pStyle w:val="ListBullet"/>
        <w:ind w:left="340"/>
      </w:pPr>
      <w:r>
        <w:t>tests/ — Tests pytest</w:t>
      </w:r>
    </w:p>
    <w:p>
      <w:pPr>
        <w:pStyle w:val="ListBullet"/>
        <w:ind w:left="340"/>
      </w:pPr>
      <w:r>
        <w:t>.github/workflows/ — CI (lint/test/build) + deploy (HF Space)</w:t>
      </w:r>
    </w:p>
    <w:p>
      <w:pPr>
        <w:pStyle w:val="ListBullet"/>
        <w:ind w:left="340"/>
      </w:pPr>
      <w:r>
        <w:t>Dockerfile — Image de déploiement</w:t>
      </w:r>
    </w:p>
    <w:p>
      <w:pPr>
        <w:pStyle w:val="ListBullet"/>
        <w:ind w:left="340"/>
      </w:pPr>
      <w:r>
        <w:t>pyproject.toml — Dépendances Poetry</w:t>
      </w:r>
    </w:p>
    <w:p>
      <w:pPr>
        <w:pStyle w:val="Heading2"/>
      </w:pPr>
      <w:r>
        <w:rPr>
          <w:color w:val="1F2937"/>
        </w:rPr>
        <w:t>10.3 Références</w:t>
      </w:r>
    </w:p>
    <w:p>
      <w:pPr>
        <w:pStyle w:val="ListNumber"/>
        <w:ind w:left="340"/>
      </w:pPr>
      <w:r>
        <w:t>Hu, E. J. et al. (2022). LoRA: Low-Rank Adaptation of Large Language Models. ICLR 2022.</w:t>
      </w:r>
    </w:p>
    <w:p>
      <w:pPr>
        <w:pStyle w:val="ListNumber"/>
        <w:ind w:left="340"/>
      </w:pPr>
      <w:r>
        <w:t>Rafailov, R. et al. (2023). Direct Preference Optimization: Your Language Model is Secretly a Reward Model. NeurIPS 2023.</w:t>
      </w:r>
    </w:p>
    <w:p>
      <w:pPr>
        <w:pStyle w:val="ListNumber"/>
        <w:ind w:left="340"/>
      </w:pPr>
      <w:r>
        <w:t>Règlement (UE) 2016/679 (RGPD) — art. 4(5) sur la pseudonymisation.</w:t>
      </w:r>
    </w:p>
    <w:p>
      <w:pPr>
        <w:pStyle w:val="ListNumber"/>
        <w:ind w:left="340"/>
      </w:pPr>
      <w:r>
        <w:t>Microsoft Presidio — https://microsoft.github.io/presidio/</w:t>
      </w:r>
    </w:p>
    <w:p>
      <w:pPr>
        <w:pStyle w:val="ListNumber"/>
        <w:ind w:left="340"/>
      </w:pPr>
      <w:r>
        <w:t>Kwon, W. et al. (2023). Efficient Memory Management for LLM Serving with PagedAttention. SOSP 2023.</w:t>
      </w:r>
    </w:p>
    <w:p>
      <w:pPr>
        <w:pStyle w:val="ListNumber"/>
        <w:ind w:left="340"/>
      </w:pPr>
      <w:r>
        <w:t>Datasets : MediQAl (ANR-MALADES), FrenchMedMCQA, MedQuAD (NIH), UltraMedical-Preference</w:t>
      </w:r>
    </w:p>
    <w:p>
      <w:pPr>
        <w:pStyle w:val="Heading2"/>
      </w:pPr>
      <w:r>
        <w:rPr>
          <w:color w:val="1F2937"/>
        </w:rPr>
        <w:t>10.4 Glossaire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</w:rPr>
              <w:t>Terme</w:t>
            </w:r>
          </w:p>
        </w:tc>
        <w:tc>
          <w:tcPr>
            <w:tcW w:type="dxa" w:w="4873"/>
          </w:tcPr>
          <w:p>
            <w:r/>
            <w:r>
              <w:rPr>
                <w:b/>
              </w:rPr>
              <w:t>Définition</w:t>
            </w:r>
          </w:p>
        </w:tc>
      </w:tr>
      <w:tr>
        <w:tc>
          <w:tcPr>
            <w:tcW w:type="dxa" w:w="4873"/>
          </w:tcPr>
          <w:p>
            <w:r>
              <w:t>SFT</w:t>
            </w:r>
          </w:p>
        </w:tc>
        <w:tc>
          <w:tcPr>
            <w:tcW w:type="dxa" w:w="4873"/>
          </w:tcPr>
          <w:p>
            <w:r>
              <w:t>Supervised Fine-Tuning — apprentissage supervisé sur paires question/réponse</w:t>
            </w:r>
          </w:p>
        </w:tc>
      </w:tr>
      <w:tr>
        <w:tc>
          <w:tcPr>
            <w:tcW w:type="dxa" w:w="4873"/>
          </w:tcPr>
          <w:p>
            <w:r>
              <w:t>DPO</w:t>
            </w:r>
          </w:p>
        </w:tc>
        <w:tc>
          <w:tcPr>
            <w:tcW w:type="dxa" w:w="4873"/>
          </w:tcPr>
          <w:p>
            <w:r>
              <w:t>Direct Preference Optimization — alignement sans modèle de récompense</w:t>
            </w:r>
          </w:p>
        </w:tc>
      </w:tr>
      <w:tr>
        <w:tc>
          <w:tcPr>
            <w:tcW w:type="dxa" w:w="4873"/>
          </w:tcPr>
          <w:p>
            <w:r>
              <w:t>LoRA</w:t>
            </w:r>
          </w:p>
        </w:tc>
        <w:tc>
          <w:tcPr>
            <w:tcW w:type="dxa" w:w="4873"/>
          </w:tcPr>
          <w:p>
            <w:r>
              <w:t>Low-Rank Adaptation — fine-tuning paramétrique efficace</w:t>
            </w:r>
          </w:p>
        </w:tc>
      </w:tr>
      <w:tr>
        <w:tc>
          <w:tcPr>
            <w:tcW w:type="dxa" w:w="4873"/>
          </w:tcPr>
          <w:p>
            <w:r>
              <w:t>ChatML</w:t>
            </w:r>
          </w:p>
        </w:tc>
        <w:tc>
          <w:tcPr>
            <w:tcW w:type="dxa" w:w="4873"/>
          </w:tcPr>
          <w:p>
            <w:r>
              <w:t>Format de conversation structurée (&lt;|im_start|&gt;role\n...&lt;|im_end|&gt;)</w:t>
            </w:r>
          </w:p>
        </w:tc>
      </w:tr>
      <w:tr>
        <w:tc>
          <w:tcPr>
            <w:tcW w:type="dxa" w:w="4873"/>
          </w:tcPr>
          <w:p>
            <w:r>
              <w:t>vLLM</w:t>
            </w:r>
          </w:p>
        </w:tc>
        <w:tc>
          <w:tcPr>
            <w:tcW w:type="dxa" w:w="4873"/>
          </w:tcPr>
          <w:p>
            <w:r>
              <w:t>Moteur d'inférence LLM optimisé (PagedAttention, continuous batching)</w:t>
            </w:r>
          </w:p>
        </w:tc>
      </w:tr>
      <w:tr>
        <w:tc>
          <w:tcPr>
            <w:tcW w:type="dxa" w:w="4873"/>
          </w:tcPr>
          <w:p>
            <w:r>
              <w:t>RGPD</w:t>
            </w:r>
          </w:p>
        </w:tc>
        <w:tc>
          <w:tcPr>
            <w:tcW w:type="dxa" w:w="4873"/>
          </w:tcPr>
          <w:p>
            <w:r>
              <w:t>Règlement Général sur la Protection des Données (UE 2016/679)</w:t>
            </w:r>
          </w:p>
        </w:tc>
      </w:tr>
      <w:tr>
        <w:tc>
          <w:tcPr>
            <w:tcW w:type="dxa" w:w="4873"/>
          </w:tcPr>
          <w:p>
            <w:r>
              <w:t>AIPD</w:t>
            </w:r>
          </w:p>
        </w:tc>
        <w:tc>
          <w:tcPr>
            <w:tcW w:type="dxa" w:w="4873"/>
          </w:tcPr>
          <w:p>
            <w:r>
              <w:t>Analyse d'Impact sur la Protection des Données</w:t>
            </w:r>
          </w:p>
        </w:tc>
      </w:tr>
      <w:tr>
        <w:tc>
          <w:tcPr>
            <w:tcW w:type="dxa" w:w="4873"/>
          </w:tcPr>
          <w:p>
            <w:r>
              <w:t>SIH</w:t>
            </w:r>
          </w:p>
        </w:tc>
        <w:tc>
          <w:tcPr>
            <w:tcW w:type="dxa" w:w="4873"/>
          </w:tcPr>
          <w:p>
            <w:r>
              <w:t>Système d'Information Hospitalier</w:t>
            </w:r>
          </w:p>
        </w:tc>
      </w:tr>
      <w:tr>
        <w:tc>
          <w:tcPr>
            <w:tcW w:type="dxa" w:w="4873"/>
          </w:tcPr>
          <w:p>
            <w:r>
              <w:t>SCA</w:t>
            </w:r>
          </w:p>
        </w:tc>
        <w:tc>
          <w:tcPr>
            <w:tcW w:type="dxa" w:w="4873"/>
          </w:tcPr>
          <w:p>
            <w:r>
              <w:t>Syndrome Coronarien Aigu (SCA ST+ = infarctus avec sus-décalage ST)</w:t>
            </w:r>
          </w:p>
        </w:tc>
      </w:tr>
      <w:tr>
        <w:tc>
          <w:tcPr>
            <w:tcW w:type="dxa" w:w="4873"/>
          </w:tcPr>
          <w:p>
            <w:r>
              <w:t>PEFT</w:t>
            </w:r>
          </w:p>
        </w:tc>
        <w:tc>
          <w:tcPr>
            <w:tcW w:type="dxa" w:w="4873"/>
          </w:tcPr>
          <w:p>
            <w:r>
              <w:t>Parameter-Efficient Fine-Tuning</w:t>
            </w:r>
          </w:p>
        </w:tc>
      </w:tr>
    </w:tbl>
    <w:p>
      <w:r>
        <w:rPr>
          <w:b w:val="0"/>
          <w:i w:val="0"/>
          <w:sz w:val="22"/>
        </w:rPr>
      </w:r>
    </w:p>
    <w:p>
      <w:r>
        <w:rPr>
          <w:b w:val="0"/>
          <w:i w:val="0"/>
          <w:sz w:val="22"/>
        </w:rPr>
      </w:r>
    </w:p>
    <w:p>
      <w:pPr>
        <w:jc w:val="center"/>
      </w:pPr>
      <w:r>
        <w:rPr>
          <w:i/>
          <w:color w:val="6B7280"/>
        </w:rPr>
        <w:t>— Fin du rapport —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