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72" w:type="dxa"/>
        <w:tblLayout w:type="fixed"/>
        <w:tblLook w:val="04A0" w:firstRow="1" w:lastRow="0" w:firstColumn="1" w:lastColumn="0" w:noHBand="0" w:noVBand="1"/>
      </w:tblPr>
      <w:tblGrid>
        <w:gridCol w:w="1710"/>
        <w:gridCol w:w="810"/>
        <w:gridCol w:w="5850"/>
        <w:gridCol w:w="1806"/>
        <w:gridCol w:w="2796"/>
      </w:tblGrid>
      <w:tr w:rsidR="00F82A7D" w:rsidRPr="00EB68C9" w14:paraId="4F6CEA68" w14:textId="77777777" w:rsidTr="00442E59">
        <w:trPr>
          <w:trHeight w:val="295"/>
          <w:tblHeader/>
        </w:trPr>
        <w:tc>
          <w:tcPr>
            <w:tcW w:w="1710" w:type="dxa"/>
            <w:tcBorders>
              <w:top w:val="single" w:sz="4" w:space="0" w:color="auto"/>
              <w:left w:val="nil"/>
              <w:bottom w:val="single" w:sz="4" w:space="0" w:color="auto"/>
              <w:right w:val="nil"/>
            </w:tcBorders>
            <w:vAlign w:val="center"/>
          </w:tcPr>
          <w:p w14:paraId="136D8F7B" w14:textId="78612576" w:rsidR="00F82A7D" w:rsidRPr="0032250C" w:rsidRDefault="00F82A7D" w:rsidP="00F82A7D">
            <w:pPr>
              <w:spacing w:line="240" w:lineRule="auto"/>
              <w:jc w:val="center"/>
              <w:rPr>
                <w:rFonts w:eastAsia="Times New Roman"/>
                <w:color w:val="000000"/>
                <w:szCs w:val="24"/>
                <w:lang w:val="en-US"/>
              </w:rPr>
            </w:pPr>
            <w:r w:rsidRPr="00E94CCE">
              <w:rPr>
                <w:lang w:val="en-US"/>
              </w:rPr>
              <w:t>Author</w:t>
            </w:r>
          </w:p>
        </w:tc>
        <w:tc>
          <w:tcPr>
            <w:tcW w:w="810" w:type="dxa"/>
            <w:tcBorders>
              <w:top w:val="single" w:sz="4" w:space="0" w:color="auto"/>
              <w:left w:val="nil"/>
              <w:bottom w:val="single" w:sz="4" w:space="0" w:color="auto"/>
              <w:right w:val="nil"/>
            </w:tcBorders>
            <w:shd w:val="clear" w:color="auto" w:fill="auto"/>
            <w:noWrap/>
            <w:vAlign w:val="center"/>
            <w:hideMark/>
          </w:tcPr>
          <w:p w14:paraId="165138C1" w14:textId="77777777" w:rsidR="00F82A7D" w:rsidRPr="0032250C" w:rsidRDefault="00F82A7D" w:rsidP="00F82A7D">
            <w:pPr>
              <w:spacing w:line="240" w:lineRule="auto"/>
              <w:jc w:val="center"/>
              <w:rPr>
                <w:rFonts w:eastAsia="Times New Roman"/>
                <w:color w:val="000000"/>
                <w:szCs w:val="24"/>
                <w:lang w:val="en-US"/>
              </w:rPr>
            </w:pPr>
            <w:r w:rsidRPr="0032250C">
              <w:rPr>
                <w:rFonts w:eastAsia="Times New Roman"/>
                <w:color w:val="000000"/>
                <w:szCs w:val="24"/>
                <w:lang w:val="en-US"/>
              </w:rPr>
              <w:t>Year</w:t>
            </w:r>
          </w:p>
        </w:tc>
        <w:tc>
          <w:tcPr>
            <w:tcW w:w="5850" w:type="dxa"/>
            <w:tcBorders>
              <w:top w:val="single" w:sz="4" w:space="0" w:color="auto"/>
              <w:left w:val="nil"/>
              <w:bottom w:val="single" w:sz="4" w:space="0" w:color="auto"/>
              <w:right w:val="nil"/>
            </w:tcBorders>
            <w:shd w:val="clear" w:color="auto" w:fill="auto"/>
            <w:noWrap/>
            <w:vAlign w:val="center"/>
            <w:hideMark/>
          </w:tcPr>
          <w:p w14:paraId="6B7D6793" w14:textId="77777777" w:rsidR="00F82A7D" w:rsidRPr="0032250C" w:rsidRDefault="00F82A7D" w:rsidP="00F82A7D">
            <w:pPr>
              <w:spacing w:line="240" w:lineRule="auto"/>
              <w:jc w:val="center"/>
              <w:rPr>
                <w:rFonts w:eastAsia="Times New Roman"/>
                <w:color w:val="000000"/>
                <w:szCs w:val="24"/>
                <w:lang w:val="en-US"/>
              </w:rPr>
            </w:pPr>
            <w:r w:rsidRPr="0032250C">
              <w:rPr>
                <w:rFonts w:eastAsia="Times New Roman"/>
                <w:color w:val="000000"/>
                <w:szCs w:val="24"/>
                <w:lang w:val="en-US"/>
              </w:rPr>
              <w:t>Purpose</w:t>
            </w:r>
          </w:p>
        </w:tc>
        <w:tc>
          <w:tcPr>
            <w:tcW w:w="1806" w:type="dxa"/>
            <w:tcBorders>
              <w:top w:val="single" w:sz="4" w:space="0" w:color="auto"/>
              <w:left w:val="nil"/>
              <w:bottom w:val="single" w:sz="4" w:space="0" w:color="auto"/>
              <w:right w:val="nil"/>
            </w:tcBorders>
            <w:shd w:val="clear" w:color="auto" w:fill="auto"/>
            <w:noWrap/>
            <w:vAlign w:val="center"/>
            <w:hideMark/>
          </w:tcPr>
          <w:p w14:paraId="44FB7467" w14:textId="77777777" w:rsidR="00F82A7D" w:rsidRPr="0032250C" w:rsidRDefault="00F82A7D" w:rsidP="00F82A7D">
            <w:pPr>
              <w:spacing w:line="240" w:lineRule="auto"/>
              <w:jc w:val="center"/>
              <w:rPr>
                <w:rFonts w:eastAsia="Times New Roman"/>
                <w:color w:val="000000"/>
                <w:szCs w:val="24"/>
                <w:lang w:val="en-US"/>
              </w:rPr>
            </w:pPr>
            <w:r w:rsidRPr="0032250C">
              <w:rPr>
                <w:rFonts w:eastAsia="Times New Roman"/>
                <w:color w:val="000000"/>
                <w:szCs w:val="24"/>
                <w:lang w:val="en-US"/>
              </w:rPr>
              <w:t>Intervention name</w:t>
            </w:r>
          </w:p>
        </w:tc>
        <w:tc>
          <w:tcPr>
            <w:tcW w:w="2796" w:type="dxa"/>
            <w:tcBorders>
              <w:top w:val="single" w:sz="4" w:space="0" w:color="auto"/>
              <w:left w:val="nil"/>
              <w:bottom w:val="single" w:sz="4" w:space="0" w:color="auto"/>
              <w:right w:val="nil"/>
            </w:tcBorders>
            <w:shd w:val="clear" w:color="auto" w:fill="auto"/>
            <w:noWrap/>
            <w:vAlign w:val="center"/>
            <w:hideMark/>
          </w:tcPr>
          <w:p w14:paraId="17CE7F8A" w14:textId="1ED4F4BB" w:rsidR="00F82A7D" w:rsidRPr="0032250C" w:rsidRDefault="00F82A7D" w:rsidP="00F82A7D">
            <w:pPr>
              <w:spacing w:line="240" w:lineRule="auto"/>
              <w:jc w:val="center"/>
              <w:rPr>
                <w:rFonts w:eastAsia="Times New Roman"/>
                <w:color w:val="000000"/>
                <w:szCs w:val="24"/>
                <w:lang w:val="en-US"/>
              </w:rPr>
            </w:pPr>
            <w:r w:rsidRPr="00EB68C9">
              <w:rPr>
                <w:rFonts w:eastAsia="Times New Roman"/>
                <w:color w:val="000000"/>
                <w:szCs w:val="24"/>
                <w:lang w:val="en-US"/>
              </w:rPr>
              <w:t>Targeted reading skills</w:t>
            </w:r>
          </w:p>
        </w:tc>
      </w:tr>
      <w:tr w:rsidR="00F82A7D" w:rsidRPr="00EB68C9" w14:paraId="0EC32749" w14:textId="77777777" w:rsidTr="00442E59">
        <w:trPr>
          <w:trHeight w:val="295"/>
        </w:trPr>
        <w:tc>
          <w:tcPr>
            <w:tcW w:w="1710" w:type="dxa"/>
            <w:tcBorders>
              <w:top w:val="single" w:sz="4" w:space="0" w:color="auto"/>
              <w:left w:val="nil"/>
              <w:bottom w:val="nil"/>
              <w:right w:val="nil"/>
            </w:tcBorders>
          </w:tcPr>
          <w:p w14:paraId="67124A8F" w14:textId="41E70685" w:rsidR="00F82A7D" w:rsidRPr="0032250C" w:rsidRDefault="00F82A7D" w:rsidP="00F82A7D">
            <w:pPr>
              <w:spacing w:line="240" w:lineRule="auto"/>
              <w:rPr>
                <w:rFonts w:eastAsia="Times New Roman"/>
                <w:color w:val="000000"/>
                <w:szCs w:val="24"/>
                <w:lang w:val="en-US"/>
              </w:rPr>
            </w:pPr>
            <w:proofErr w:type="spellStart"/>
            <w:r w:rsidRPr="007775BF">
              <w:t>Pindiprolu</w:t>
            </w:r>
            <w:proofErr w:type="spellEnd"/>
            <w:r w:rsidRPr="007775BF">
              <w:t xml:space="preserve"> et al (2019)</w:t>
            </w:r>
          </w:p>
        </w:tc>
        <w:tc>
          <w:tcPr>
            <w:tcW w:w="810" w:type="dxa"/>
            <w:tcBorders>
              <w:top w:val="single" w:sz="4" w:space="0" w:color="auto"/>
              <w:left w:val="nil"/>
              <w:bottom w:val="nil"/>
              <w:right w:val="nil"/>
            </w:tcBorders>
            <w:shd w:val="clear" w:color="auto" w:fill="auto"/>
            <w:noWrap/>
            <w:hideMark/>
          </w:tcPr>
          <w:p w14:paraId="2ED98C0A"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2019</w:t>
            </w:r>
          </w:p>
        </w:tc>
        <w:tc>
          <w:tcPr>
            <w:tcW w:w="5850" w:type="dxa"/>
            <w:tcBorders>
              <w:top w:val="single" w:sz="4" w:space="0" w:color="auto"/>
              <w:left w:val="nil"/>
              <w:bottom w:val="nil"/>
              <w:right w:val="nil"/>
            </w:tcBorders>
            <w:shd w:val="clear" w:color="auto" w:fill="auto"/>
            <w:noWrap/>
            <w:hideMark/>
          </w:tcPr>
          <w:p w14:paraId="68042828" w14:textId="041840B1"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Evaluate the effects of parent implemented Funnix and Headsprout reading programs on the acquisition of basic early literacy skills of students</w:t>
            </w:r>
            <w:r>
              <w:rPr>
                <w:rFonts w:eastAsia="Times New Roman"/>
                <w:color w:val="000000"/>
                <w:szCs w:val="24"/>
                <w:lang w:val="en-US"/>
              </w:rPr>
              <w:t xml:space="preserve"> </w:t>
            </w:r>
            <w:r w:rsidRPr="0032250C">
              <w:rPr>
                <w:rFonts w:eastAsia="Times New Roman"/>
                <w:color w:val="000000"/>
                <w:szCs w:val="24"/>
                <w:lang w:val="en-US"/>
              </w:rPr>
              <w:t>with reading difficulties</w:t>
            </w:r>
          </w:p>
        </w:tc>
        <w:tc>
          <w:tcPr>
            <w:tcW w:w="1806" w:type="dxa"/>
            <w:tcBorders>
              <w:top w:val="single" w:sz="4" w:space="0" w:color="auto"/>
              <w:left w:val="nil"/>
              <w:bottom w:val="nil"/>
              <w:right w:val="nil"/>
            </w:tcBorders>
            <w:shd w:val="clear" w:color="auto" w:fill="auto"/>
            <w:noWrap/>
            <w:hideMark/>
          </w:tcPr>
          <w:p w14:paraId="02856877" w14:textId="3687B170"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Funnix</w:t>
            </w:r>
            <w:r w:rsidRPr="00EB68C9">
              <w:rPr>
                <w:rFonts w:eastAsia="Times New Roman"/>
                <w:color w:val="000000"/>
                <w:szCs w:val="24"/>
                <w:lang w:val="en-US"/>
              </w:rPr>
              <w:t xml:space="preserve">, </w:t>
            </w:r>
            <w:r w:rsidRPr="0032250C">
              <w:rPr>
                <w:rFonts w:eastAsia="Times New Roman"/>
                <w:color w:val="000000"/>
                <w:szCs w:val="24"/>
                <w:lang w:val="en-US"/>
              </w:rPr>
              <w:t>Headsprout</w:t>
            </w:r>
          </w:p>
        </w:tc>
        <w:tc>
          <w:tcPr>
            <w:tcW w:w="2796" w:type="dxa"/>
            <w:tcBorders>
              <w:top w:val="single" w:sz="4" w:space="0" w:color="auto"/>
              <w:left w:val="nil"/>
              <w:bottom w:val="nil"/>
              <w:right w:val="nil"/>
            </w:tcBorders>
            <w:shd w:val="clear" w:color="auto" w:fill="auto"/>
            <w:noWrap/>
            <w:hideMark/>
          </w:tcPr>
          <w:p w14:paraId="5C91425B" w14:textId="08AA758F"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word reading, reading fluency, reading comprehension, phonological skills, phonics, vocabulary</w:t>
            </w:r>
          </w:p>
        </w:tc>
      </w:tr>
      <w:tr w:rsidR="00F82A7D" w:rsidRPr="00EB68C9" w14:paraId="622B26A7" w14:textId="77777777" w:rsidTr="00F82A7D">
        <w:trPr>
          <w:trHeight w:val="295"/>
        </w:trPr>
        <w:tc>
          <w:tcPr>
            <w:tcW w:w="1710" w:type="dxa"/>
            <w:tcBorders>
              <w:top w:val="nil"/>
              <w:left w:val="nil"/>
              <w:bottom w:val="nil"/>
              <w:right w:val="nil"/>
            </w:tcBorders>
          </w:tcPr>
          <w:p w14:paraId="193C1BD9" w14:textId="56F1F076" w:rsidR="00F82A7D" w:rsidRPr="0032250C" w:rsidRDefault="00F82A7D" w:rsidP="00F82A7D">
            <w:pPr>
              <w:spacing w:line="240" w:lineRule="auto"/>
              <w:rPr>
                <w:rFonts w:eastAsia="Times New Roman"/>
                <w:color w:val="000000"/>
                <w:szCs w:val="24"/>
                <w:lang w:val="en-US"/>
              </w:rPr>
            </w:pPr>
            <w:proofErr w:type="spellStart"/>
            <w:r w:rsidRPr="007775BF">
              <w:t>Moser</w:t>
            </w:r>
            <w:proofErr w:type="spellEnd"/>
            <w:r w:rsidRPr="007775BF">
              <w:t xml:space="preserve"> et al (2017)</w:t>
            </w:r>
          </w:p>
        </w:tc>
        <w:tc>
          <w:tcPr>
            <w:tcW w:w="810" w:type="dxa"/>
            <w:tcBorders>
              <w:top w:val="nil"/>
              <w:left w:val="nil"/>
              <w:bottom w:val="nil"/>
              <w:right w:val="nil"/>
            </w:tcBorders>
            <w:shd w:val="clear" w:color="auto" w:fill="auto"/>
            <w:noWrap/>
            <w:hideMark/>
          </w:tcPr>
          <w:p w14:paraId="2916B6B1"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2017</w:t>
            </w:r>
          </w:p>
        </w:tc>
        <w:tc>
          <w:tcPr>
            <w:tcW w:w="5850" w:type="dxa"/>
            <w:tcBorders>
              <w:top w:val="nil"/>
              <w:left w:val="nil"/>
              <w:bottom w:val="nil"/>
              <w:right w:val="nil"/>
            </w:tcBorders>
            <w:shd w:val="clear" w:color="auto" w:fill="auto"/>
            <w:noWrap/>
            <w:hideMark/>
          </w:tcPr>
          <w:p w14:paraId="1CF654C0"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Examine the effectiveness of word structure practice using application software with fourth grade readers.</w:t>
            </w:r>
          </w:p>
        </w:tc>
        <w:tc>
          <w:tcPr>
            <w:tcW w:w="1806" w:type="dxa"/>
            <w:tcBorders>
              <w:top w:val="nil"/>
              <w:left w:val="nil"/>
              <w:bottom w:val="nil"/>
              <w:right w:val="nil"/>
            </w:tcBorders>
            <w:shd w:val="clear" w:color="auto" w:fill="auto"/>
            <w:noWrap/>
            <w:hideMark/>
          </w:tcPr>
          <w:p w14:paraId="311E107C"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8 great word patters</w:t>
            </w:r>
          </w:p>
        </w:tc>
        <w:tc>
          <w:tcPr>
            <w:tcW w:w="2796" w:type="dxa"/>
            <w:tcBorders>
              <w:top w:val="nil"/>
              <w:left w:val="nil"/>
              <w:bottom w:val="nil"/>
              <w:right w:val="nil"/>
            </w:tcBorders>
            <w:shd w:val="clear" w:color="auto" w:fill="auto"/>
            <w:noWrap/>
            <w:hideMark/>
          </w:tcPr>
          <w:p w14:paraId="780301D7" w14:textId="7C29A744"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reading fluency, vocabulary, reading comprehension, word reading</w:t>
            </w:r>
          </w:p>
        </w:tc>
      </w:tr>
      <w:tr w:rsidR="00F82A7D" w:rsidRPr="00EB68C9" w14:paraId="26A40F5A" w14:textId="77777777" w:rsidTr="00F82A7D">
        <w:trPr>
          <w:trHeight w:val="295"/>
        </w:trPr>
        <w:tc>
          <w:tcPr>
            <w:tcW w:w="1710" w:type="dxa"/>
            <w:tcBorders>
              <w:top w:val="nil"/>
              <w:left w:val="nil"/>
              <w:bottom w:val="nil"/>
              <w:right w:val="nil"/>
            </w:tcBorders>
          </w:tcPr>
          <w:p w14:paraId="309F6AD6" w14:textId="1AA2B809" w:rsidR="00F82A7D" w:rsidRPr="0032250C" w:rsidRDefault="00F82A7D" w:rsidP="00F82A7D">
            <w:pPr>
              <w:spacing w:line="240" w:lineRule="auto"/>
              <w:rPr>
                <w:rFonts w:eastAsia="Times New Roman"/>
                <w:color w:val="000000"/>
                <w:szCs w:val="24"/>
                <w:lang w:val="en-US"/>
              </w:rPr>
            </w:pPr>
            <w:proofErr w:type="spellStart"/>
            <w:r w:rsidRPr="007775BF">
              <w:t>Potocki</w:t>
            </w:r>
            <w:proofErr w:type="spellEnd"/>
            <w:r w:rsidRPr="007775BF">
              <w:t xml:space="preserve"> et al (2015)</w:t>
            </w:r>
          </w:p>
        </w:tc>
        <w:tc>
          <w:tcPr>
            <w:tcW w:w="810" w:type="dxa"/>
            <w:tcBorders>
              <w:top w:val="nil"/>
              <w:left w:val="nil"/>
              <w:bottom w:val="nil"/>
              <w:right w:val="nil"/>
            </w:tcBorders>
            <w:shd w:val="clear" w:color="auto" w:fill="auto"/>
            <w:noWrap/>
            <w:hideMark/>
          </w:tcPr>
          <w:p w14:paraId="23FCA7F2"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2015</w:t>
            </w:r>
          </w:p>
        </w:tc>
        <w:tc>
          <w:tcPr>
            <w:tcW w:w="5850" w:type="dxa"/>
            <w:tcBorders>
              <w:top w:val="nil"/>
              <w:left w:val="nil"/>
              <w:bottom w:val="nil"/>
              <w:right w:val="nil"/>
            </w:tcBorders>
            <w:shd w:val="clear" w:color="auto" w:fill="auto"/>
            <w:noWrap/>
            <w:hideMark/>
          </w:tcPr>
          <w:p w14:paraId="244A9035"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Determine the effects of a computerized training program on the reading skills of normal readers, poor decoders, poor comprehenders, and general poor readers (inferred).</w:t>
            </w:r>
          </w:p>
        </w:tc>
        <w:tc>
          <w:tcPr>
            <w:tcW w:w="1806" w:type="dxa"/>
            <w:tcBorders>
              <w:top w:val="nil"/>
              <w:left w:val="nil"/>
              <w:bottom w:val="nil"/>
              <w:right w:val="nil"/>
            </w:tcBorders>
            <w:shd w:val="clear" w:color="auto" w:fill="auto"/>
            <w:noWrap/>
            <w:hideMark/>
          </w:tcPr>
          <w:p w14:paraId="5B8AFD45"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Chassymo, Locotex</w:t>
            </w:r>
          </w:p>
        </w:tc>
        <w:tc>
          <w:tcPr>
            <w:tcW w:w="2796" w:type="dxa"/>
            <w:tcBorders>
              <w:top w:val="nil"/>
              <w:left w:val="nil"/>
              <w:bottom w:val="nil"/>
              <w:right w:val="nil"/>
            </w:tcBorders>
            <w:shd w:val="clear" w:color="auto" w:fill="auto"/>
            <w:noWrap/>
            <w:hideMark/>
          </w:tcPr>
          <w:p w14:paraId="2132D272" w14:textId="43F6AF22"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word reading, reading fluency, reading comprehension</w:t>
            </w:r>
          </w:p>
        </w:tc>
      </w:tr>
      <w:tr w:rsidR="00F82A7D" w:rsidRPr="00EB68C9" w14:paraId="10A0DBB7" w14:textId="77777777" w:rsidTr="00F82A7D">
        <w:trPr>
          <w:trHeight w:val="295"/>
        </w:trPr>
        <w:tc>
          <w:tcPr>
            <w:tcW w:w="1710" w:type="dxa"/>
            <w:tcBorders>
              <w:top w:val="nil"/>
              <w:left w:val="nil"/>
              <w:bottom w:val="nil"/>
              <w:right w:val="nil"/>
            </w:tcBorders>
          </w:tcPr>
          <w:p w14:paraId="5BDDE2F7" w14:textId="6F7AEA96" w:rsidR="00F82A7D" w:rsidRPr="0032250C" w:rsidRDefault="00F82A7D" w:rsidP="00F82A7D">
            <w:pPr>
              <w:spacing w:line="240" w:lineRule="auto"/>
              <w:rPr>
                <w:rFonts w:eastAsia="Times New Roman"/>
                <w:color w:val="000000"/>
                <w:szCs w:val="24"/>
                <w:lang w:val="en-US"/>
              </w:rPr>
            </w:pPr>
            <w:r w:rsidRPr="007775BF">
              <w:t>Rosas et al (2017)</w:t>
            </w:r>
          </w:p>
        </w:tc>
        <w:tc>
          <w:tcPr>
            <w:tcW w:w="810" w:type="dxa"/>
            <w:tcBorders>
              <w:top w:val="nil"/>
              <w:left w:val="nil"/>
              <w:bottom w:val="nil"/>
              <w:right w:val="nil"/>
            </w:tcBorders>
            <w:shd w:val="clear" w:color="auto" w:fill="auto"/>
            <w:noWrap/>
            <w:hideMark/>
          </w:tcPr>
          <w:p w14:paraId="1AB40DF7"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2017</w:t>
            </w:r>
          </w:p>
        </w:tc>
        <w:tc>
          <w:tcPr>
            <w:tcW w:w="5850" w:type="dxa"/>
            <w:tcBorders>
              <w:top w:val="nil"/>
              <w:left w:val="nil"/>
              <w:bottom w:val="nil"/>
              <w:right w:val="nil"/>
            </w:tcBorders>
            <w:shd w:val="clear" w:color="auto" w:fill="auto"/>
            <w:noWrap/>
            <w:hideMark/>
          </w:tcPr>
          <w:p w14:paraId="792AFD0D"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Evaluate the impact of an explicit, sustained, and direct intervention of the phonic aspects of reading in Chilean children enrolled in their first year of primary education, from a low SES and at risk of manifesting reading difficulties.</w:t>
            </w:r>
          </w:p>
        </w:tc>
        <w:tc>
          <w:tcPr>
            <w:tcW w:w="1806" w:type="dxa"/>
            <w:tcBorders>
              <w:top w:val="nil"/>
              <w:left w:val="nil"/>
              <w:bottom w:val="nil"/>
              <w:right w:val="nil"/>
            </w:tcBorders>
            <w:shd w:val="clear" w:color="auto" w:fill="auto"/>
            <w:noWrap/>
            <w:hideMark/>
          </w:tcPr>
          <w:p w14:paraId="013AC7D9" w14:textId="53AC950C"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Graphogame</w:t>
            </w:r>
          </w:p>
        </w:tc>
        <w:tc>
          <w:tcPr>
            <w:tcW w:w="2796" w:type="dxa"/>
            <w:tcBorders>
              <w:top w:val="nil"/>
              <w:left w:val="nil"/>
              <w:bottom w:val="nil"/>
              <w:right w:val="nil"/>
            </w:tcBorders>
            <w:shd w:val="clear" w:color="auto" w:fill="auto"/>
            <w:noWrap/>
            <w:hideMark/>
          </w:tcPr>
          <w:p w14:paraId="32DE2E3E" w14:textId="6BCEC547"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word reading, phonological skills, phonics, rapid automatized naming</w:t>
            </w:r>
          </w:p>
        </w:tc>
      </w:tr>
      <w:tr w:rsidR="00F82A7D" w:rsidRPr="00EB68C9" w14:paraId="0028609B" w14:textId="77777777" w:rsidTr="00F82A7D">
        <w:trPr>
          <w:trHeight w:val="295"/>
        </w:trPr>
        <w:tc>
          <w:tcPr>
            <w:tcW w:w="1710" w:type="dxa"/>
            <w:tcBorders>
              <w:top w:val="nil"/>
              <w:left w:val="nil"/>
              <w:bottom w:val="nil"/>
              <w:right w:val="nil"/>
            </w:tcBorders>
          </w:tcPr>
          <w:p w14:paraId="6AE16A7C" w14:textId="59867AF8" w:rsidR="00F82A7D" w:rsidRPr="0032250C" w:rsidRDefault="00F82A7D" w:rsidP="00F82A7D">
            <w:pPr>
              <w:spacing w:line="240" w:lineRule="auto"/>
              <w:rPr>
                <w:rFonts w:eastAsia="Times New Roman"/>
                <w:color w:val="000000"/>
                <w:szCs w:val="24"/>
                <w:lang w:val="en-US"/>
              </w:rPr>
            </w:pPr>
            <w:proofErr w:type="spellStart"/>
            <w:r w:rsidRPr="007775BF">
              <w:t>Saine</w:t>
            </w:r>
            <w:proofErr w:type="spellEnd"/>
            <w:r w:rsidRPr="007775BF">
              <w:t xml:space="preserve"> et al (2010)</w:t>
            </w:r>
          </w:p>
        </w:tc>
        <w:tc>
          <w:tcPr>
            <w:tcW w:w="810" w:type="dxa"/>
            <w:tcBorders>
              <w:top w:val="nil"/>
              <w:left w:val="nil"/>
              <w:bottom w:val="nil"/>
              <w:right w:val="nil"/>
            </w:tcBorders>
            <w:shd w:val="clear" w:color="auto" w:fill="auto"/>
            <w:noWrap/>
            <w:hideMark/>
          </w:tcPr>
          <w:p w14:paraId="65EECB10"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2010</w:t>
            </w:r>
          </w:p>
        </w:tc>
        <w:tc>
          <w:tcPr>
            <w:tcW w:w="5850" w:type="dxa"/>
            <w:tcBorders>
              <w:top w:val="nil"/>
              <w:left w:val="nil"/>
              <w:bottom w:val="nil"/>
              <w:right w:val="nil"/>
            </w:tcBorders>
            <w:shd w:val="clear" w:color="auto" w:fill="auto"/>
            <w:noWrap/>
            <w:hideMark/>
          </w:tcPr>
          <w:p w14:paraId="02091D6C" w14:textId="3ECAB0F9"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Build a model of the predictive value of word-level reading fluency in three contrastive groups whose reading acquisition has been supported differently, that is, via participation in remedial reading intervention or computer assisted remedial reading intervention or mainstream instruction. A second aim was to identify the most effective types of intervention for children with different profiles of compromised prereading skills before school age.</w:t>
            </w:r>
          </w:p>
        </w:tc>
        <w:tc>
          <w:tcPr>
            <w:tcW w:w="1806" w:type="dxa"/>
            <w:tcBorders>
              <w:top w:val="nil"/>
              <w:left w:val="nil"/>
              <w:bottom w:val="nil"/>
              <w:right w:val="nil"/>
            </w:tcBorders>
            <w:shd w:val="clear" w:color="auto" w:fill="auto"/>
            <w:noWrap/>
            <w:hideMark/>
          </w:tcPr>
          <w:p w14:paraId="32BA6E1C" w14:textId="68B16C50"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Graphogame</w:t>
            </w:r>
          </w:p>
        </w:tc>
        <w:tc>
          <w:tcPr>
            <w:tcW w:w="2796" w:type="dxa"/>
            <w:tcBorders>
              <w:top w:val="nil"/>
              <w:left w:val="nil"/>
              <w:bottom w:val="nil"/>
              <w:right w:val="nil"/>
            </w:tcBorders>
            <w:shd w:val="clear" w:color="auto" w:fill="auto"/>
            <w:noWrap/>
            <w:hideMark/>
          </w:tcPr>
          <w:p w14:paraId="33F604F1" w14:textId="5A95396D"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word reading</w:t>
            </w:r>
          </w:p>
        </w:tc>
      </w:tr>
      <w:tr w:rsidR="00F82A7D" w:rsidRPr="00EB68C9" w14:paraId="0B27204E" w14:textId="77777777" w:rsidTr="00F82A7D">
        <w:trPr>
          <w:trHeight w:val="295"/>
        </w:trPr>
        <w:tc>
          <w:tcPr>
            <w:tcW w:w="1710" w:type="dxa"/>
            <w:tcBorders>
              <w:top w:val="nil"/>
              <w:left w:val="nil"/>
              <w:bottom w:val="nil"/>
              <w:right w:val="nil"/>
            </w:tcBorders>
          </w:tcPr>
          <w:p w14:paraId="502EA800" w14:textId="17286D50" w:rsidR="00F82A7D" w:rsidRPr="0032250C" w:rsidRDefault="00F82A7D" w:rsidP="00F82A7D">
            <w:pPr>
              <w:spacing w:line="240" w:lineRule="auto"/>
              <w:rPr>
                <w:rFonts w:eastAsia="Times New Roman"/>
                <w:color w:val="000000"/>
                <w:szCs w:val="24"/>
                <w:lang w:val="en-US"/>
              </w:rPr>
            </w:pPr>
            <w:proofErr w:type="spellStart"/>
            <w:r w:rsidRPr="007775BF">
              <w:t>Callaghan</w:t>
            </w:r>
            <w:proofErr w:type="spellEnd"/>
            <w:r w:rsidRPr="007775BF">
              <w:t xml:space="preserve"> et al</w:t>
            </w:r>
            <w:r>
              <w:t xml:space="preserve"> (</w:t>
            </w:r>
            <w:r>
              <w:rPr>
                <w:color w:val="000000"/>
              </w:rPr>
              <w:t>2016</w:t>
            </w:r>
            <w:r>
              <w:rPr>
                <w:lang w:val="en-US"/>
              </w:rPr>
              <w:t>)</w:t>
            </w:r>
          </w:p>
        </w:tc>
        <w:tc>
          <w:tcPr>
            <w:tcW w:w="810" w:type="dxa"/>
            <w:tcBorders>
              <w:top w:val="nil"/>
              <w:left w:val="nil"/>
              <w:bottom w:val="nil"/>
              <w:right w:val="nil"/>
            </w:tcBorders>
            <w:shd w:val="clear" w:color="auto" w:fill="auto"/>
            <w:noWrap/>
            <w:hideMark/>
          </w:tcPr>
          <w:p w14:paraId="435C65BE"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2016</w:t>
            </w:r>
          </w:p>
        </w:tc>
        <w:tc>
          <w:tcPr>
            <w:tcW w:w="5850" w:type="dxa"/>
            <w:tcBorders>
              <w:top w:val="nil"/>
              <w:left w:val="nil"/>
              <w:bottom w:val="nil"/>
              <w:right w:val="nil"/>
            </w:tcBorders>
            <w:shd w:val="clear" w:color="auto" w:fill="auto"/>
            <w:noWrap/>
            <w:hideMark/>
          </w:tcPr>
          <w:p w14:paraId="0EE69911"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Evaluate the effectiveness of the commonly used the Lexia Reading Core5 intervention, with 4- to 6-year-old pupils in Northern Ireland</w:t>
            </w:r>
          </w:p>
        </w:tc>
        <w:tc>
          <w:tcPr>
            <w:tcW w:w="1806" w:type="dxa"/>
            <w:tcBorders>
              <w:top w:val="nil"/>
              <w:left w:val="nil"/>
              <w:bottom w:val="nil"/>
              <w:right w:val="nil"/>
            </w:tcBorders>
            <w:shd w:val="clear" w:color="auto" w:fill="auto"/>
            <w:noWrap/>
            <w:hideMark/>
          </w:tcPr>
          <w:p w14:paraId="3F8AD5B3" w14:textId="288EC095"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Lexia Reading Core 5</w:t>
            </w:r>
          </w:p>
        </w:tc>
        <w:tc>
          <w:tcPr>
            <w:tcW w:w="2796" w:type="dxa"/>
            <w:tcBorders>
              <w:top w:val="nil"/>
              <w:left w:val="nil"/>
              <w:bottom w:val="nil"/>
              <w:right w:val="nil"/>
            </w:tcBorders>
            <w:shd w:val="clear" w:color="auto" w:fill="auto"/>
            <w:noWrap/>
            <w:hideMark/>
          </w:tcPr>
          <w:p w14:paraId="51D73DB3" w14:textId="1D465376"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phonological skills</w:t>
            </w:r>
          </w:p>
        </w:tc>
      </w:tr>
      <w:tr w:rsidR="00F82A7D" w:rsidRPr="00EB68C9" w14:paraId="2063BAC2" w14:textId="77777777" w:rsidTr="00F82A7D">
        <w:trPr>
          <w:trHeight w:val="295"/>
        </w:trPr>
        <w:tc>
          <w:tcPr>
            <w:tcW w:w="1710" w:type="dxa"/>
            <w:tcBorders>
              <w:top w:val="nil"/>
              <w:left w:val="nil"/>
              <w:bottom w:val="nil"/>
              <w:right w:val="nil"/>
            </w:tcBorders>
          </w:tcPr>
          <w:p w14:paraId="1168B1DA" w14:textId="04F65B26" w:rsidR="00F82A7D" w:rsidRPr="0032250C" w:rsidRDefault="00F82A7D" w:rsidP="00F82A7D">
            <w:pPr>
              <w:spacing w:line="240" w:lineRule="auto"/>
              <w:rPr>
                <w:rFonts w:eastAsia="Times New Roman"/>
                <w:color w:val="000000"/>
                <w:szCs w:val="24"/>
                <w:lang w:val="en-US"/>
              </w:rPr>
            </w:pPr>
            <w:proofErr w:type="spellStart"/>
            <w:r w:rsidRPr="007775BF">
              <w:lastRenderedPageBreak/>
              <w:t>Cazzell</w:t>
            </w:r>
            <w:proofErr w:type="spellEnd"/>
            <w:r w:rsidRPr="007775BF">
              <w:t xml:space="preserve"> et al (2017)</w:t>
            </w:r>
          </w:p>
        </w:tc>
        <w:tc>
          <w:tcPr>
            <w:tcW w:w="810" w:type="dxa"/>
            <w:tcBorders>
              <w:top w:val="nil"/>
              <w:left w:val="nil"/>
              <w:bottom w:val="nil"/>
              <w:right w:val="nil"/>
            </w:tcBorders>
            <w:shd w:val="clear" w:color="auto" w:fill="auto"/>
            <w:noWrap/>
            <w:hideMark/>
          </w:tcPr>
          <w:p w14:paraId="03EAFAC6"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2017</w:t>
            </w:r>
          </w:p>
        </w:tc>
        <w:tc>
          <w:tcPr>
            <w:tcW w:w="5850" w:type="dxa"/>
            <w:tcBorders>
              <w:top w:val="nil"/>
              <w:left w:val="nil"/>
              <w:bottom w:val="nil"/>
              <w:right w:val="nil"/>
            </w:tcBorders>
            <w:shd w:val="clear" w:color="auto" w:fill="auto"/>
            <w:noWrap/>
            <w:hideMark/>
          </w:tcPr>
          <w:p w14:paraId="59F2BA33"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Evaluate the effects of a CFR program with self-determined response intervals on sight-word acquisition in two elementary students with intellectual dis ability.</w:t>
            </w:r>
          </w:p>
        </w:tc>
        <w:tc>
          <w:tcPr>
            <w:tcW w:w="1806" w:type="dxa"/>
            <w:tcBorders>
              <w:top w:val="nil"/>
              <w:left w:val="nil"/>
              <w:bottom w:val="nil"/>
              <w:right w:val="nil"/>
            </w:tcBorders>
            <w:shd w:val="clear" w:color="auto" w:fill="auto"/>
            <w:noWrap/>
            <w:hideMark/>
          </w:tcPr>
          <w:p w14:paraId="4FDE1756" w14:textId="01334E9A"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 xml:space="preserve">Researcher-developed: Computer-based </w:t>
            </w:r>
            <w:r w:rsidRPr="00EB68C9">
              <w:rPr>
                <w:rFonts w:eastAsia="Times New Roman"/>
                <w:color w:val="000000"/>
                <w:szCs w:val="24"/>
                <w:lang w:val="en-US"/>
              </w:rPr>
              <w:t>flashcard</w:t>
            </w:r>
            <w:r w:rsidRPr="0032250C">
              <w:rPr>
                <w:rFonts w:eastAsia="Times New Roman"/>
                <w:color w:val="000000"/>
                <w:szCs w:val="24"/>
                <w:lang w:val="en-US"/>
              </w:rPr>
              <w:t xml:space="preserve"> reading</w:t>
            </w:r>
          </w:p>
        </w:tc>
        <w:tc>
          <w:tcPr>
            <w:tcW w:w="2796" w:type="dxa"/>
            <w:tcBorders>
              <w:top w:val="nil"/>
              <w:left w:val="nil"/>
              <w:bottom w:val="nil"/>
              <w:right w:val="nil"/>
            </w:tcBorders>
            <w:shd w:val="clear" w:color="auto" w:fill="auto"/>
            <w:noWrap/>
            <w:hideMark/>
          </w:tcPr>
          <w:p w14:paraId="7A80204A" w14:textId="4FE25BF6"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word reading</w:t>
            </w:r>
          </w:p>
        </w:tc>
      </w:tr>
      <w:tr w:rsidR="00F82A7D" w:rsidRPr="00EB68C9" w14:paraId="7FC57659" w14:textId="77777777" w:rsidTr="00F82A7D">
        <w:trPr>
          <w:trHeight w:val="295"/>
        </w:trPr>
        <w:tc>
          <w:tcPr>
            <w:tcW w:w="1710" w:type="dxa"/>
            <w:tcBorders>
              <w:top w:val="nil"/>
              <w:left w:val="nil"/>
              <w:bottom w:val="nil"/>
              <w:right w:val="nil"/>
            </w:tcBorders>
          </w:tcPr>
          <w:p w14:paraId="41809332" w14:textId="7A138669" w:rsidR="00F82A7D" w:rsidRPr="0032250C" w:rsidRDefault="00F82A7D" w:rsidP="00F82A7D">
            <w:pPr>
              <w:spacing w:line="240" w:lineRule="auto"/>
              <w:rPr>
                <w:rFonts w:eastAsia="Times New Roman"/>
                <w:color w:val="000000"/>
                <w:szCs w:val="24"/>
                <w:lang w:val="en-US"/>
              </w:rPr>
            </w:pPr>
            <w:r w:rsidRPr="007775BF">
              <w:t>Chai (2017)</w:t>
            </w:r>
          </w:p>
        </w:tc>
        <w:tc>
          <w:tcPr>
            <w:tcW w:w="810" w:type="dxa"/>
            <w:tcBorders>
              <w:top w:val="nil"/>
              <w:left w:val="nil"/>
              <w:bottom w:val="nil"/>
              <w:right w:val="nil"/>
            </w:tcBorders>
            <w:shd w:val="clear" w:color="auto" w:fill="auto"/>
            <w:noWrap/>
            <w:hideMark/>
          </w:tcPr>
          <w:p w14:paraId="6FE658F6"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2017</w:t>
            </w:r>
          </w:p>
        </w:tc>
        <w:tc>
          <w:tcPr>
            <w:tcW w:w="5850" w:type="dxa"/>
            <w:tcBorders>
              <w:top w:val="nil"/>
              <w:left w:val="nil"/>
              <w:bottom w:val="nil"/>
              <w:right w:val="nil"/>
            </w:tcBorders>
            <w:shd w:val="clear" w:color="auto" w:fill="auto"/>
            <w:noWrap/>
            <w:hideMark/>
          </w:tcPr>
          <w:p w14:paraId="76A76AC9" w14:textId="72CF67D1"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 xml:space="preserve">Evaluate the effectiveness of using a researcher-developed </w:t>
            </w:r>
            <w:r w:rsidRPr="00EB68C9">
              <w:rPr>
                <w:rFonts w:eastAsia="Times New Roman"/>
                <w:color w:val="000000"/>
                <w:szCs w:val="24"/>
                <w:lang w:val="en-US"/>
              </w:rPr>
              <w:t xml:space="preserve">iPad </w:t>
            </w:r>
            <w:r w:rsidRPr="0032250C">
              <w:rPr>
                <w:rFonts w:eastAsia="Times New Roman"/>
                <w:color w:val="000000"/>
                <w:szCs w:val="24"/>
                <w:lang w:val="en-US"/>
              </w:rPr>
              <w:t>app with a 0- to 5-s constant time delay procedure to improve phonological awareness skills of young children with mild developmental delays in a small-group arrangement in a rural public elementary school in Southwest United States.</w:t>
            </w:r>
          </w:p>
        </w:tc>
        <w:tc>
          <w:tcPr>
            <w:tcW w:w="1806" w:type="dxa"/>
            <w:tcBorders>
              <w:top w:val="nil"/>
              <w:left w:val="nil"/>
              <w:bottom w:val="nil"/>
              <w:right w:val="nil"/>
            </w:tcBorders>
            <w:shd w:val="clear" w:color="auto" w:fill="auto"/>
            <w:noWrap/>
            <w:hideMark/>
          </w:tcPr>
          <w:p w14:paraId="0FB8910A"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Touch Sound</w:t>
            </w:r>
          </w:p>
        </w:tc>
        <w:tc>
          <w:tcPr>
            <w:tcW w:w="2796" w:type="dxa"/>
            <w:tcBorders>
              <w:top w:val="nil"/>
              <w:left w:val="nil"/>
              <w:bottom w:val="nil"/>
              <w:right w:val="nil"/>
            </w:tcBorders>
            <w:shd w:val="clear" w:color="auto" w:fill="auto"/>
            <w:noWrap/>
            <w:hideMark/>
          </w:tcPr>
          <w:p w14:paraId="169AA7CF" w14:textId="1B500D3C"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phonological skills</w:t>
            </w:r>
          </w:p>
        </w:tc>
      </w:tr>
      <w:tr w:rsidR="00F82A7D" w:rsidRPr="00EB68C9" w14:paraId="2E9FD819" w14:textId="77777777" w:rsidTr="00F82A7D">
        <w:trPr>
          <w:trHeight w:val="295"/>
        </w:trPr>
        <w:tc>
          <w:tcPr>
            <w:tcW w:w="1710" w:type="dxa"/>
            <w:tcBorders>
              <w:top w:val="nil"/>
              <w:left w:val="nil"/>
              <w:bottom w:val="nil"/>
              <w:right w:val="nil"/>
            </w:tcBorders>
          </w:tcPr>
          <w:p w14:paraId="548D555E" w14:textId="5A186088" w:rsidR="00F82A7D" w:rsidRPr="0032250C" w:rsidRDefault="00F82A7D" w:rsidP="00F82A7D">
            <w:pPr>
              <w:spacing w:line="240" w:lineRule="auto"/>
              <w:rPr>
                <w:rFonts w:eastAsia="Times New Roman"/>
                <w:color w:val="000000"/>
                <w:szCs w:val="24"/>
                <w:lang w:val="en-US"/>
              </w:rPr>
            </w:pPr>
            <w:r w:rsidRPr="007775BF">
              <w:t>Schmitt et al (2018)</w:t>
            </w:r>
          </w:p>
        </w:tc>
        <w:tc>
          <w:tcPr>
            <w:tcW w:w="810" w:type="dxa"/>
            <w:tcBorders>
              <w:top w:val="nil"/>
              <w:left w:val="nil"/>
              <w:bottom w:val="nil"/>
              <w:right w:val="nil"/>
            </w:tcBorders>
            <w:shd w:val="clear" w:color="auto" w:fill="auto"/>
            <w:noWrap/>
            <w:hideMark/>
          </w:tcPr>
          <w:p w14:paraId="49B4C99B"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2018</w:t>
            </w:r>
          </w:p>
        </w:tc>
        <w:tc>
          <w:tcPr>
            <w:tcW w:w="5850" w:type="dxa"/>
            <w:tcBorders>
              <w:top w:val="nil"/>
              <w:left w:val="nil"/>
              <w:bottom w:val="nil"/>
              <w:right w:val="nil"/>
            </w:tcBorders>
            <w:shd w:val="clear" w:color="auto" w:fill="auto"/>
            <w:noWrap/>
            <w:hideMark/>
          </w:tcPr>
          <w:p w14:paraId="205FE53C"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Determine whether the final version website with games based on these five media properties and played at home could meaningfully promote literacy development among low- and middle-SES preschool and kindergarten students</w:t>
            </w:r>
          </w:p>
        </w:tc>
        <w:tc>
          <w:tcPr>
            <w:tcW w:w="1806" w:type="dxa"/>
            <w:tcBorders>
              <w:top w:val="nil"/>
              <w:left w:val="nil"/>
              <w:bottom w:val="nil"/>
              <w:right w:val="nil"/>
            </w:tcBorders>
            <w:shd w:val="clear" w:color="auto" w:fill="auto"/>
            <w:noWrap/>
            <w:hideMark/>
          </w:tcPr>
          <w:p w14:paraId="19EA0305"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PBS KIDS Island</w:t>
            </w:r>
          </w:p>
        </w:tc>
        <w:tc>
          <w:tcPr>
            <w:tcW w:w="2796" w:type="dxa"/>
            <w:tcBorders>
              <w:top w:val="nil"/>
              <w:left w:val="nil"/>
              <w:bottom w:val="nil"/>
              <w:right w:val="nil"/>
            </w:tcBorders>
            <w:shd w:val="clear" w:color="auto" w:fill="auto"/>
            <w:noWrap/>
            <w:hideMark/>
          </w:tcPr>
          <w:p w14:paraId="797C3F93" w14:textId="143E8240"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phonics, phonological skills, word reading, vocabulary</w:t>
            </w:r>
          </w:p>
        </w:tc>
      </w:tr>
      <w:tr w:rsidR="00F82A7D" w:rsidRPr="00EB68C9" w14:paraId="1501654E" w14:textId="77777777" w:rsidTr="00F82A7D">
        <w:trPr>
          <w:trHeight w:val="295"/>
        </w:trPr>
        <w:tc>
          <w:tcPr>
            <w:tcW w:w="1710" w:type="dxa"/>
            <w:tcBorders>
              <w:top w:val="nil"/>
              <w:left w:val="nil"/>
              <w:bottom w:val="nil"/>
              <w:right w:val="nil"/>
            </w:tcBorders>
          </w:tcPr>
          <w:p w14:paraId="55F7EC65" w14:textId="743C1AF1" w:rsidR="00F82A7D" w:rsidRPr="0032250C" w:rsidRDefault="00F82A7D" w:rsidP="00F82A7D">
            <w:pPr>
              <w:spacing w:line="240" w:lineRule="auto"/>
              <w:rPr>
                <w:rFonts w:eastAsia="Times New Roman"/>
                <w:color w:val="000000"/>
                <w:szCs w:val="24"/>
                <w:lang w:val="en-US"/>
              </w:rPr>
            </w:pPr>
            <w:proofErr w:type="spellStart"/>
            <w:r w:rsidRPr="007775BF">
              <w:t>Comaskey</w:t>
            </w:r>
            <w:proofErr w:type="spellEnd"/>
            <w:r w:rsidRPr="007775BF">
              <w:t xml:space="preserve"> et al (2009)</w:t>
            </w:r>
          </w:p>
        </w:tc>
        <w:tc>
          <w:tcPr>
            <w:tcW w:w="810" w:type="dxa"/>
            <w:tcBorders>
              <w:top w:val="nil"/>
              <w:left w:val="nil"/>
              <w:bottom w:val="nil"/>
              <w:right w:val="nil"/>
            </w:tcBorders>
            <w:shd w:val="clear" w:color="auto" w:fill="auto"/>
            <w:noWrap/>
            <w:hideMark/>
          </w:tcPr>
          <w:p w14:paraId="21B5868C"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2009</w:t>
            </w:r>
          </w:p>
        </w:tc>
        <w:tc>
          <w:tcPr>
            <w:tcW w:w="5850" w:type="dxa"/>
            <w:tcBorders>
              <w:top w:val="nil"/>
              <w:left w:val="nil"/>
              <w:bottom w:val="nil"/>
              <w:right w:val="nil"/>
            </w:tcBorders>
            <w:shd w:val="clear" w:color="auto" w:fill="auto"/>
            <w:noWrap/>
            <w:hideMark/>
          </w:tcPr>
          <w:p w14:paraId="6D616C9B"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Explore the effectiveness of a Web-based literacy programme that delivered two distinct phonics programmes.</w:t>
            </w:r>
          </w:p>
        </w:tc>
        <w:tc>
          <w:tcPr>
            <w:tcW w:w="1806" w:type="dxa"/>
            <w:tcBorders>
              <w:top w:val="nil"/>
              <w:left w:val="nil"/>
              <w:bottom w:val="nil"/>
              <w:right w:val="nil"/>
            </w:tcBorders>
            <w:shd w:val="clear" w:color="auto" w:fill="auto"/>
            <w:noWrap/>
            <w:hideMark/>
          </w:tcPr>
          <w:p w14:paraId="4D907B3B" w14:textId="077ECE3D"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 xml:space="preserve">A Balanced Reading Approach for Canadians Designed to Achieve Best Results for All </w:t>
            </w:r>
          </w:p>
        </w:tc>
        <w:tc>
          <w:tcPr>
            <w:tcW w:w="2796" w:type="dxa"/>
            <w:tcBorders>
              <w:top w:val="nil"/>
              <w:left w:val="nil"/>
              <w:bottom w:val="nil"/>
              <w:right w:val="nil"/>
            </w:tcBorders>
            <w:shd w:val="clear" w:color="auto" w:fill="auto"/>
            <w:noWrap/>
            <w:hideMark/>
          </w:tcPr>
          <w:p w14:paraId="34E374B7" w14:textId="4E1CF945"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phonological skills, reading skills (not specified)</w:t>
            </w:r>
          </w:p>
        </w:tc>
      </w:tr>
      <w:tr w:rsidR="00F82A7D" w:rsidRPr="00EB68C9" w14:paraId="7C666B22" w14:textId="77777777" w:rsidTr="00F82A7D">
        <w:trPr>
          <w:trHeight w:val="295"/>
        </w:trPr>
        <w:tc>
          <w:tcPr>
            <w:tcW w:w="1710" w:type="dxa"/>
            <w:tcBorders>
              <w:top w:val="nil"/>
              <w:left w:val="nil"/>
              <w:bottom w:val="nil"/>
              <w:right w:val="nil"/>
            </w:tcBorders>
          </w:tcPr>
          <w:p w14:paraId="72793AB2" w14:textId="40E29213" w:rsidR="00F82A7D" w:rsidRPr="0032250C" w:rsidRDefault="00F82A7D" w:rsidP="00F82A7D">
            <w:pPr>
              <w:spacing w:line="240" w:lineRule="auto"/>
              <w:rPr>
                <w:rFonts w:eastAsia="Times New Roman"/>
                <w:color w:val="000000"/>
                <w:szCs w:val="24"/>
                <w:lang w:val="en-US"/>
              </w:rPr>
            </w:pPr>
            <w:proofErr w:type="spellStart"/>
            <w:r w:rsidRPr="007775BF">
              <w:t>Solheim</w:t>
            </w:r>
            <w:proofErr w:type="spellEnd"/>
            <w:r w:rsidRPr="007775BF">
              <w:t xml:space="preserve"> et al (2018)</w:t>
            </w:r>
          </w:p>
        </w:tc>
        <w:tc>
          <w:tcPr>
            <w:tcW w:w="810" w:type="dxa"/>
            <w:tcBorders>
              <w:top w:val="nil"/>
              <w:left w:val="nil"/>
              <w:bottom w:val="nil"/>
              <w:right w:val="nil"/>
            </w:tcBorders>
            <w:shd w:val="clear" w:color="auto" w:fill="auto"/>
            <w:noWrap/>
            <w:hideMark/>
          </w:tcPr>
          <w:p w14:paraId="35525E20"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2018</w:t>
            </w:r>
          </w:p>
        </w:tc>
        <w:tc>
          <w:tcPr>
            <w:tcW w:w="5850" w:type="dxa"/>
            <w:tcBorders>
              <w:top w:val="nil"/>
              <w:left w:val="nil"/>
              <w:bottom w:val="nil"/>
              <w:right w:val="nil"/>
            </w:tcBorders>
            <w:shd w:val="clear" w:color="auto" w:fill="auto"/>
            <w:noWrap/>
            <w:hideMark/>
          </w:tcPr>
          <w:p w14:paraId="5DE3A83B"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Investigate the efficacy of an early reading intervention delivered alongside formal reading instruction to Norwegian 6-year old's to be at risk for RD at school entry through a group randomised controlled trial, with a two-year long term follow up after intervention.</w:t>
            </w:r>
          </w:p>
        </w:tc>
        <w:tc>
          <w:tcPr>
            <w:tcW w:w="1806" w:type="dxa"/>
            <w:tcBorders>
              <w:top w:val="nil"/>
              <w:left w:val="nil"/>
              <w:bottom w:val="nil"/>
              <w:right w:val="nil"/>
            </w:tcBorders>
            <w:shd w:val="clear" w:color="auto" w:fill="auto"/>
            <w:noWrap/>
            <w:hideMark/>
          </w:tcPr>
          <w:p w14:paraId="01B9B648" w14:textId="6A4CBF87"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 xml:space="preserve">Graphogame, </w:t>
            </w:r>
            <w:r w:rsidRPr="0032250C">
              <w:rPr>
                <w:rFonts w:eastAsia="Times New Roman"/>
                <w:color w:val="000000"/>
                <w:szCs w:val="24"/>
                <w:lang w:val="en-US"/>
              </w:rPr>
              <w:t>On track ABC</w:t>
            </w:r>
          </w:p>
        </w:tc>
        <w:tc>
          <w:tcPr>
            <w:tcW w:w="2796" w:type="dxa"/>
            <w:tcBorders>
              <w:top w:val="nil"/>
              <w:left w:val="nil"/>
              <w:bottom w:val="nil"/>
              <w:right w:val="nil"/>
            </w:tcBorders>
            <w:shd w:val="clear" w:color="auto" w:fill="auto"/>
            <w:noWrap/>
            <w:hideMark/>
          </w:tcPr>
          <w:p w14:paraId="705218DB" w14:textId="76A52084"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phonics, phonological skills, word reading, rapid automatized naming, vocabulary</w:t>
            </w:r>
          </w:p>
        </w:tc>
      </w:tr>
      <w:tr w:rsidR="00F82A7D" w:rsidRPr="00EB68C9" w14:paraId="3A8D7EE7" w14:textId="77777777" w:rsidTr="00F82A7D">
        <w:trPr>
          <w:trHeight w:val="295"/>
        </w:trPr>
        <w:tc>
          <w:tcPr>
            <w:tcW w:w="1710" w:type="dxa"/>
            <w:tcBorders>
              <w:top w:val="nil"/>
              <w:left w:val="nil"/>
              <w:bottom w:val="nil"/>
              <w:right w:val="nil"/>
            </w:tcBorders>
          </w:tcPr>
          <w:p w14:paraId="34449BBB" w14:textId="4F0ACCED" w:rsidR="00F82A7D" w:rsidRPr="0032250C" w:rsidRDefault="00F82A7D" w:rsidP="00F82A7D">
            <w:pPr>
              <w:spacing w:line="240" w:lineRule="auto"/>
              <w:rPr>
                <w:rFonts w:eastAsia="Times New Roman"/>
                <w:color w:val="000000"/>
                <w:szCs w:val="24"/>
                <w:lang w:val="en-US"/>
              </w:rPr>
            </w:pPr>
            <w:proofErr w:type="spellStart"/>
            <w:r w:rsidRPr="007775BF">
              <w:t>Ecalle</w:t>
            </w:r>
            <w:proofErr w:type="spellEnd"/>
            <w:r w:rsidRPr="007775BF">
              <w:t xml:space="preserve"> et al (2009)</w:t>
            </w:r>
          </w:p>
        </w:tc>
        <w:tc>
          <w:tcPr>
            <w:tcW w:w="810" w:type="dxa"/>
            <w:tcBorders>
              <w:top w:val="nil"/>
              <w:left w:val="nil"/>
              <w:bottom w:val="nil"/>
              <w:right w:val="nil"/>
            </w:tcBorders>
            <w:shd w:val="clear" w:color="auto" w:fill="auto"/>
            <w:noWrap/>
            <w:hideMark/>
          </w:tcPr>
          <w:p w14:paraId="263E0DF6"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2009</w:t>
            </w:r>
          </w:p>
        </w:tc>
        <w:tc>
          <w:tcPr>
            <w:tcW w:w="5850" w:type="dxa"/>
            <w:tcBorders>
              <w:top w:val="nil"/>
              <w:left w:val="nil"/>
              <w:bottom w:val="nil"/>
              <w:right w:val="nil"/>
            </w:tcBorders>
            <w:shd w:val="clear" w:color="auto" w:fill="auto"/>
            <w:noWrap/>
            <w:hideMark/>
          </w:tcPr>
          <w:p w14:paraId="65913F15" w14:textId="549F156F"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Examine the effects of a computer-assisted learning</w:t>
            </w:r>
            <w:r w:rsidRPr="00EB68C9">
              <w:rPr>
                <w:rFonts w:eastAsia="Times New Roman"/>
                <w:color w:val="000000"/>
                <w:szCs w:val="24"/>
                <w:lang w:val="en-US"/>
              </w:rPr>
              <w:t xml:space="preserve"> </w:t>
            </w:r>
            <w:r w:rsidRPr="0032250C">
              <w:rPr>
                <w:rFonts w:eastAsia="Times New Roman"/>
                <w:color w:val="000000"/>
                <w:szCs w:val="24"/>
                <w:lang w:val="en-US"/>
              </w:rPr>
              <w:t xml:space="preserve">program in which syllabic units were highlighted inside words in comparison with a CAL program in which the </w:t>
            </w:r>
            <w:r w:rsidRPr="0032250C">
              <w:rPr>
                <w:rFonts w:eastAsia="Times New Roman"/>
                <w:color w:val="000000"/>
                <w:szCs w:val="24"/>
                <w:lang w:val="en-US"/>
              </w:rPr>
              <w:lastRenderedPageBreak/>
              <w:t xml:space="preserve">words were not segmented, i.e. </w:t>
            </w:r>
            <w:r w:rsidRPr="00EB68C9">
              <w:rPr>
                <w:rFonts w:eastAsia="Times New Roman"/>
                <w:color w:val="000000"/>
                <w:szCs w:val="24"/>
                <w:lang w:val="en-US"/>
              </w:rPr>
              <w:t xml:space="preserve">One </w:t>
            </w:r>
            <w:r w:rsidRPr="0032250C">
              <w:rPr>
                <w:rFonts w:eastAsia="Times New Roman"/>
                <w:color w:val="000000"/>
                <w:szCs w:val="24"/>
                <w:lang w:val="en-US"/>
              </w:rPr>
              <w:t xml:space="preserve">requiring whole word recognition. </w:t>
            </w:r>
          </w:p>
        </w:tc>
        <w:tc>
          <w:tcPr>
            <w:tcW w:w="1806" w:type="dxa"/>
            <w:tcBorders>
              <w:top w:val="nil"/>
              <w:left w:val="nil"/>
              <w:bottom w:val="nil"/>
              <w:right w:val="nil"/>
            </w:tcBorders>
            <w:shd w:val="clear" w:color="auto" w:fill="auto"/>
            <w:noWrap/>
            <w:hideMark/>
          </w:tcPr>
          <w:p w14:paraId="102DE5C5" w14:textId="44CC49F4"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lastRenderedPageBreak/>
              <w:t>Researcher-developed (</w:t>
            </w:r>
            <w:r w:rsidR="001D1AD2">
              <w:rPr>
                <w:rFonts w:eastAsia="Times New Roman"/>
                <w:color w:val="000000"/>
                <w:szCs w:val="24"/>
                <w:lang w:val="en-US"/>
              </w:rPr>
              <w:t>name not provided</w:t>
            </w:r>
            <w:r w:rsidRPr="0032250C">
              <w:rPr>
                <w:rFonts w:eastAsia="Times New Roman"/>
                <w:color w:val="000000"/>
                <w:szCs w:val="24"/>
                <w:lang w:val="en-US"/>
              </w:rPr>
              <w:t>)</w:t>
            </w:r>
          </w:p>
        </w:tc>
        <w:tc>
          <w:tcPr>
            <w:tcW w:w="2796" w:type="dxa"/>
            <w:tcBorders>
              <w:top w:val="nil"/>
              <w:left w:val="nil"/>
              <w:bottom w:val="nil"/>
              <w:right w:val="nil"/>
            </w:tcBorders>
            <w:shd w:val="clear" w:color="auto" w:fill="auto"/>
            <w:noWrap/>
            <w:hideMark/>
          </w:tcPr>
          <w:p w14:paraId="5A0630DD" w14:textId="42D22536"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phonological skills, word reading</w:t>
            </w:r>
          </w:p>
        </w:tc>
      </w:tr>
      <w:tr w:rsidR="00F82A7D" w:rsidRPr="00EB68C9" w14:paraId="0B7FD06E" w14:textId="77777777" w:rsidTr="00F82A7D">
        <w:trPr>
          <w:trHeight w:val="295"/>
        </w:trPr>
        <w:tc>
          <w:tcPr>
            <w:tcW w:w="1710" w:type="dxa"/>
            <w:tcBorders>
              <w:top w:val="nil"/>
              <w:left w:val="nil"/>
              <w:bottom w:val="nil"/>
              <w:right w:val="nil"/>
            </w:tcBorders>
          </w:tcPr>
          <w:p w14:paraId="702B6A7A" w14:textId="6C647AC2" w:rsidR="00F82A7D" w:rsidRPr="0032250C" w:rsidRDefault="00F82A7D" w:rsidP="00F82A7D">
            <w:pPr>
              <w:spacing w:line="240" w:lineRule="auto"/>
              <w:rPr>
                <w:rFonts w:eastAsia="Times New Roman"/>
                <w:color w:val="000000"/>
                <w:szCs w:val="24"/>
                <w:lang w:val="en-US"/>
              </w:rPr>
            </w:pPr>
            <w:r w:rsidRPr="007775BF">
              <w:t>Wood et al (2013)</w:t>
            </w:r>
          </w:p>
        </w:tc>
        <w:tc>
          <w:tcPr>
            <w:tcW w:w="810" w:type="dxa"/>
            <w:tcBorders>
              <w:top w:val="nil"/>
              <w:left w:val="nil"/>
              <w:bottom w:val="nil"/>
              <w:right w:val="nil"/>
            </w:tcBorders>
            <w:shd w:val="clear" w:color="auto" w:fill="auto"/>
            <w:noWrap/>
            <w:hideMark/>
          </w:tcPr>
          <w:p w14:paraId="314881DE"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2013</w:t>
            </w:r>
          </w:p>
        </w:tc>
        <w:tc>
          <w:tcPr>
            <w:tcW w:w="5850" w:type="dxa"/>
            <w:tcBorders>
              <w:top w:val="nil"/>
              <w:left w:val="nil"/>
              <w:bottom w:val="nil"/>
              <w:right w:val="nil"/>
            </w:tcBorders>
            <w:shd w:val="clear" w:color="auto" w:fill="auto"/>
            <w:noWrap/>
            <w:hideMark/>
          </w:tcPr>
          <w:p w14:paraId="49EC4E30" w14:textId="1F1B9E59"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Evaluate the effects of a supplemental phonemic instruction</w:t>
            </w:r>
            <w:r>
              <w:rPr>
                <w:rFonts w:eastAsia="Times New Roman"/>
                <w:color w:val="000000"/>
                <w:szCs w:val="24"/>
                <w:lang w:val="en-US"/>
              </w:rPr>
              <w:t xml:space="preserve"> </w:t>
            </w:r>
            <w:r w:rsidRPr="0032250C">
              <w:rPr>
                <w:rFonts w:eastAsia="Times New Roman"/>
                <w:color w:val="000000"/>
                <w:szCs w:val="24"/>
                <w:lang w:val="en-US"/>
              </w:rPr>
              <w:t>program using computer-assisted reciprocal peer tutoring with embedded audio prompting</w:t>
            </w:r>
          </w:p>
        </w:tc>
        <w:tc>
          <w:tcPr>
            <w:tcW w:w="1806" w:type="dxa"/>
            <w:tcBorders>
              <w:top w:val="nil"/>
              <w:left w:val="nil"/>
              <w:bottom w:val="nil"/>
              <w:right w:val="nil"/>
            </w:tcBorders>
            <w:shd w:val="clear" w:color="auto" w:fill="auto"/>
            <w:noWrap/>
            <w:hideMark/>
          </w:tcPr>
          <w:p w14:paraId="09806254" w14:textId="1C5BB2EA"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Researcher-developed (</w:t>
            </w:r>
            <w:r w:rsidR="001D1AD2">
              <w:rPr>
                <w:rFonts w:eastAsia="Times New Roman"/>
                <w:color w:val="000000"/>
                <w:szCs w:val="24"/>
                <w:lang w:val="en-US"/>
              </w:rPr>
              <w:t>name not provided</w:t>
            </w:r>
            <w:r w:rsidRPr="0032250C">
              <w:rPr>
                <w:rFonts w:eastAsia="Times New Roman"/>
                <w:color w:val="000000"/>
                <w:szCs w:val="24"/>
                <w:lang w:val="en-US"/>
              </w:rPr>
              <w:t>)</w:t>
            </w:r>
          </w:p>
        </w:tc>
        <w:tc>
          <w:tcPr>
            <w:tcW w:w="2796" w:type="dxa"/>
            <w:tcBorders>
              <w:top w:val="nil"/>
              <w:left w:val="nil"/>
              <w:bottom w:val="nil"/>
              <w:right w:val="nil"/>
            </w:tcBorders>
            <w:shd w:val="clear" w:color="auto" w:fill="auto"/>
            <w:noWrap/>
            <w:hideMark/>
          </w:tcPr>
          <w:p w14:paraId="015FFCD4" w14:textId="444E99FF"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phonological skills</w:t>
            </w:r>
          </w:p>
        </w:tc>
      </w:tr>
      <w:tr w:rsidR="00F82A7D" w:rsidRPr="00EB68C9" w14:paraId="3718AD4C" w14:textId="77777777" w:rsidTr="00F82A7D">
        <w:trPr>
          <w:trHeight w:val="295"/>
        </w:trPr>
        <w:tc>
          <w:tcPr>
            <w:tcW w:w="1710" w:type="dxa"/>
            <w:tcBorders>
              <w:top w:val="nil"/>
              <w:left w:val="nil"/>
              <w:bottom w:val="nil"/>
              <w:right w:val="nil"/>
            </w:tcBorders>
          </w:tcPr>
          <w:p w14:paraId="349153D8" w14:textId="65C65C6F" w:rsidR="00F82A7D" w:rsidRPr="0032250C" w:rsidRDefault="00F82A7D" w:rsidP="00F82A7D">
            <w:pPr>
              <w:spacing w:line="240" w:lineRule="auto"/>
              <w:rPr>
                <w:rFonts w:eastAsia="Times New Roman"/>
                <w:color w:val="000000"/>
                <w:szCs w:val="24"/>
                <w:lang w:val="en-US"/>
              </w:rPr>
            </w:pPr>
            <w:proofErr w:type="spellStart"/>
            <w:r w:rsidRPr="007775BF">
              <w:t>Ecalle</w:t>
            </w:r>
            <w:proofErr w:type="spellEnd"/>
            <w:r w:rsidRPr="007775BF">
              <w:t xml:space="preserve"> et al (2013)</w:t>
            </w:r>
          </w:p>
        </w:tc>
        <w:tc>
          <w:tcPr>
            <w:tcW w:w="810" w:type="dxa"/>
            <w:tcBorders>
              <w:top w:val="nil"/>
              <w:left w:val="nil"/>
              <w:bottom w:val="nil"/>
              <w:right w:val="nil"/>
            </w:tcBorders>
            <w:shd w:val="clear" w:color="auto" w:fill="auto"/>
            <w:noWrap/>
            <w:hideMark/>
          </w:tcPr>
          <w:p w14:paraId="61B4B484"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2013</w:t>
            </w:r>
          </w:p>
        </w:tc>
        <w:tc>
          <w:tcPr>
            <w:tcW w:w="5850" w:type="dxa"/>
            <w:tcBorders>
              <w:top w:val="nil"/>
              <w:left w:val="nil"/>
              <w:bottom w:val="nil"/>
              <w:right w:val="nil"/>
            </w:tcBorders>
            <w:shd w:val="clear" w:color="auto" w:fill="auto"/>
            <w:noWrap/>
            <w:hideMark/>
          </w:tcPr>
          <w:p w14:paraId="3CB92B80"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Determine whether a software based on grapho-syllabic training is efficient in French poor readers in Grade 2 in comparison with two groups, grapho-phonemic training group and a control group.</w:t>
            </w:r>
          </w:p>
        </w:tc>
        <w:tc>
          <w:tcPr>
            <w:tcW w:w="1806" w:type="dxa"/>
            <w:tcBorders>
              <w:top w:val="nil"/>
              <w:left w:val="nil"/>
              <w:bottom w:val="nil"/>
              <w:right w:val="nil"/>
            </w:tcBorders>
            <w:shd w:val="clear" w:color="auto" w:fill="auto"/>
            <w:noWrap/>
            <w:hideMark/>
          </w:tcPr>
          <w:p w14:paraId="26C6A6BE" w14:textId="048BCFEF"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Grapho-syllabic training</w:t>
            </w:r>
            <w:r w:rsidRPr="00EB68C9">
              <w:rPr>
                <w:rFonts w:eastAsia="Times New Roman"/>
                <w:color w:val="000000"/>
                <w:szCs w:val="24"/>
                <w:lang w:val="en-US"/>
              </w:rPr>
              <w:t xml:space="preserve">, </w:t>
            </w:r>
            <w:r w:rsidRPr="0032250C">
              <w:rPr>
                <w:rFonts w:eastAsia="Times New Roman"/>
                <w:color w:val="000000"/>
                <w:szCs w:val="24"/>
                <w:lang w:val="en-US"/>
              </w:rPr>
              <w:t>Grapho-phonemic training</w:t>
            </w:r>
          </w:p>
        </w:tc>
        <w:tc>
          <w:tcPr>
            <w:tcW w:w="2796" w:type="dxa"/>
            <w:tcBorders>
              <w:top w:val="nil"/>
              <w:left w:val="nil"/>
              <w:bottom w:val="nil"/>
              <w:right w:val="nil"/>
            </w:tcBorders>
            <w:shd w:val="clear" w:color="auto" w:fill="auto"/>
            <w:noWrap/>
            <w:hideMark/>
          </w:tcPr>
          <w:p w14:paraId="311CF6AE" w14:textId="67334487"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word reading</w:t>
            </w:r>
          </w:p>
        </w:tc>
      </w:tr>
      <w:tr w:rsidR="00F82A7D" w:rsidRPr="00EB68C9" w14:paraId="6F6814A2" w14:textId="77777777" w:rsidTr="00F82A7D">
        <w:trPr>
          <w:trHeight w:val="295"/>
        </w:trPr>
        <w:tc>
          <w:tcPr>
            <w:tcW w:w="1710" w:type="dxa"/>
            <w:tcBorders>
              <w:top w:val="nil"/>
              <w:left w:val="nil"/>
              <w:bottom w:val="nil"/>
              <w:right w:val="nil"/>
            </w:tcBorders>
          </w:tcPr>
          <w:p w14:paraId="08A550DD" w14:textId="05D50730" w:rsidR="00F82A7D" w:rsidRPr="0032250C" w:rsidRDefault="00F82A7D" w:rsidP="00F82A7D">
            <w:pPr>
              <w:spacing w:line="240" w:lineRule="auto"/>
              <w:rPr>
                <w:rFonts w:eastAsia="Times New Roman"/>
                <w:color w:val="000000"/>
                <w:szCs w:val="24"/>
                <w:lang w:val="en-US"/>
              </w:rPr>
            </w:pPr>
            <w:proofErr w:type="spellStart"/>
            <w:r w:rsidRPr="007775BF">
              <w:t>Ecalle</w:t>
            </w:r>
            <w:proofErr w:type="spellEnd"/>
            <w:r w:rsidRPr="007775BF">
              <w:t xml:space="preserve"> et al (2013)</w:t>
            </w:r>
          </w:p>
        </w:tc>
        <w:tc>
          <w:tcPr>
            <w:tcW w:w="810" w:type="dxa"/>
            <w:tcBorders>
              <w:top w:val="nil"/>
              <w:left w:val="nil"/>
              <w:bottom w:val="nil"/>
              <w:right w:val="nil"/>
            </w:tcBorders>
            <w:shd w:val="clear" w:color="auto" w:fill="auto"/>
            <w:noWrap/>
            <w:hideMark/>
          </w:tcPr>
          <w:p w14:paraId="61833BC1"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2013</w:t>
            </w:r>
          </w:p>
        </w:tc>
        <w:tc>
          <w:tcPr>
            <w:tcW w:w="5850" w:type="dxa"/>
            <w:tcBorders>
              <w:top w:val="nil"/>
              <w:left w:val="nil"/>
              <w:bottom w:val="nil"/>
              <w:right w:val="nil"/>
            </w:tcBorders>
            <w:shd w:val="clear" w:color="auto" w:fill="auto"/>
            <w:noWrap/>
            <w:hideMark/>
          </w:tcPr>
          <w:p w14:paraId="2802BA79"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Examine the long-term effect of grapho-syllabic training proposed to French 1st graders and followed to the end of second grade.</w:t>
            </w:r>
          </w:p>
        </w:tc>
        <w:tc>
          <w:tcPr>
            <w:tcW w:w="1806" w:type="dxa"/>
            <w:tcBorders>
              <w:top w:val="nil"/>
              <w:left w:val="nil"/>
              <w:bottom w:val="nil"/>
              <w:right w:val="nil"/>
            </w:tcBorders>
            <w:shd w:val="clear" w:color="auto" w:fill="auto"/>
            <w:noWrap/>
            <w:hideMark/>
          </w:tcPr>
          <w:p w14:paraId="0BB87D65" w14:textId="6BBDBACE"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Grapho-syllabic training</w:t>
            </w:r>
            <w:r w:rsidRPr="00EB68C9">
              <w:rPr>
                <w:rFonts w:eastAsia="Times New Roman"/>
                <w:color w:val="000000"/>
                <w:szCs w:val="24"/>
                <w:lang w:val="en-US"/>
              </w:rPr>
              <w:t xml:space="preserve">, </w:t>
            </w:r>
            <w:r w:rsidRPr="0032250C">
              <w:rPr>
                <w:rFonts w:eastAsia="Times New Roman"/>
                <w:color w:val="000000"/>
                <w:szCs w:val="24"/>
                <w:lang w:val="en-US"/>
              </w:rPr>
              <w:t>Grapho-phonemic training</w:t>
            </w:r>
          </w:p>
        </w:tc>
        <w:tc>
          <w:tcPr>
            <w:tcW w:w="2796" w:type="dxa"/>
            <w:tcBorders>
              <w:top w:val="nil"/>
              <w:left w:val="nil"/>
              <w:bottom w:val="nil"/>
              <w:right w:val="nil"/>
            </w:tcBorders>
            <w:shd w:val="clear" w:color="auto" w:fill="auto"/>
            <w:noWrap/>
            <w:hideMark/>
          </w:tcPr>
          <w:p w14:paraId="1ADBC09D" w14:textId="014AF678"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word reading, reading comprehension</w:t>
            </w:r>
          </w:p>
        </w:tc>
      </w:tr>
      <w:tr w:rsidR="00F82A7D" w:rsidRPr="00EB68C9" w14:paraId="34E77CCD" w14:textId="77777777" w:rsidTr="00F82A7D">
        <w:trPr>
          <w:trHeight w:val="295"/>
        </w:trPr>
        <w:tc>
          <w:tcPr>
            <w:tcW w:w="1710" w:type="dxa"/>
            <w:tcBorders>
              <w:top w:val="nil"/>
              <w:left w:val="nil"/>
              <w:bottom w:val="nil"/>
              <w:right w:val="nil"/>
            </w:tcBorders>
          </w:tcPr>
          <w:p w14:paraId="3B0242F4" w14:textId="58816F63" w:rsidR="00F82A7D" w:rsidRPr="0032250C" w:rsidRDefault="00F82A7D" w:rsidP="00F82A7D">
            <w:pPr>
              <w:spacing w:line="240" w:lineRule="auto"/>
              <w:rPr>
                <w:rFonts w:eastAsia="Times New Roman"/>
                <w:color w:val="000000"/>
                <w:szCs w:val="24"/>
                <w:lang w:val="en-US"/>
              </w:rPr>
            </w:pPr>
            <w:proofErr w:type="spellStart"/>
            <w:r w:rsidRPr="007775BF">
              <w:t>Kyle</w:t>
            </w:r>
            <w:proofErr w:type="spellEnd"/>
            <w:r w:rsidRPr="007775BF">
              <w:t xml:space="preserve"> et al (2013)</w:t>
            </w:r>
          </w:p>
        </w:tc>
        <w:tc>
          <w:tcPr>
            <w:tcW w:w="810" w:type="dxa"/>
            <w:tcBorders>
              <w:top w:val="nil"/>
              <w:left w:val="nil"/>
              <w:bottom w:val="nil"/>
              <w:right w:val="nil"/>
            </w:tcBorders>
            <w:shd w:val="clear" w:color="auto" w:fill="auto"/>
            <w:noWrap/>
            <w:hideMark/>
          </w:tcPr>
          <w:p w14:paraId="0D8F8F0B"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2013</w:t>
            </w:r>
          </w:p>
        </w:tc>
        <w:tc>
          <w:tcPr>
            <w:tcW w:w="5850" w:type="dxa"/>
            <w:tcBorders>
              <w:top w:val="nil"/>
              <w:left w:val="nil"/>
              <w:bottom w:val="nil"/>
              <w:right w:val="nil"/>
            </w:tcBorders>
            <w:shd w:val="clear" w:color="auto" w:fill="auto"/>
            <w:noWrap/>
            <w:hideMark/>
          </w:tcPr>
          <w:p w14:paraId="6745280E" w14:textId="4E843495"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 xml:space="preserve">Assess the efficacy of </w:t>
            </w:r>
            <w:r w:rsidRPr="00EB68C9">
              <w:rPr>
                <w:rFonts w:eastAsia="Times New Roman"/>
                <w:color w:val="000000"/>
                <w:szCs w:val="24"/>
                <w:lang w:val="en-US"/>
              </w:rPr>
              <w:t xml:space="preserve">graphogame </w:t>
            </w:r>
            <w:r w:rsidRPr="0032250C">
              <w:rPr>
                <w:rFonts w:eastAsia="Times New Roman"/>
                <w:color w:val="000000"/>
                <w:szCs w:val="24"/>
                <w:lang w:val="en-US"/>
              </w:rPr>
              <w:t>as a supplementary CARI for students learning to read in English</w:t>
            </w:r>
          </w:p>
        </w:tc>
        <w:tc>
          <w:tcPr>
            <w:tcW w:w="1806" w:type="dxa"/>
            <w:tcBorders>
              <w:top w:val="nil"/>
              <w:left w:val="nil"/>
              <w:bottom w:val="nil"/>
              <w:right w:val="nil"/>
            </w:tcBorders>
            <w:shd w:val="clear" w:color="auto" w:fill="auto"/>
            <w:noWrap/>
            <w:hideMark/>
          </w:tcPr>
          <w:p w14:paraId="631E7F6B" w14:textId="7C2CDA26"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 xml:space="preserve">Graphogame </w:t>
            </w:r>
          </w:p>
        </w:tc>
        <w:tc>
          <w:tcPr>
            <w:tcW w:w="2796" w:type="dxa"/>
            <w:tcBorders>
              <w:top w:val="nil"/>
              <w:left w:val="nil"/>
              <w:bottom w:val="nil"/>
              <w:right w:val="nil"/>
            </w:tcBorders>
            <w:shd w:val="clear" w:color="auto" w:fill="auto"/>
            <w:noWrap/>
            <w:hideMark/>
          </w:tcPr>
          <w:p w14:paraId="49089665" w14:textId="4DC1664A"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vocabulary, word reading, spelling, phonological skills</w:t>
            </w:r>
          </w:p>
        </w:tc>
      </w:tr>
      <w:tr w:rsidR="00F82A7D" w:rsidRPr="00EB68C9" w14:paraId="626F5401" w14:textId="77777777" w:rsidTr="00F82A7D">
        <w:trPr>
          <w:trHeight w:val="295"/>
        </w:trPr>
        <w:tc>
          <w:tcPr>
            <w:tcW w:w="1710" w:type="dxa"/>
            <w:tcBorders>
              <w:top w:val="nil"/>
              <w:left w:val="nil"/>
              <w:bottom w:val="nil"/>
              <w:right w:val="nil"/>
            </w:tcBorders>
          </w:tcPr>
          <w:p w14:paraId="7329E3EB" w14:textId="789B1695" w:rsidR="00F82A7D" w:rsidRPr="0032250C" w:rsidRDefault="00F82A7D" w:rsidP="00F82A7D">
            <w:pPr>
              <w:spacing w:line="240" w:lineRule="auto"/>
              <w:rPr>
                <w:rFonts w:eastAsia="Times New Roman"/>
                <w:color w:val="000000"/>
                <w:szCs w:val="24"/>
                <w:lang w:val="en-US"/>
              </w:rPr>
            </w:pPr>
            <w:r w:rsidRPr="007775BF">
              <w:t>Fan et al (2018)</w:t>
            </w:r>
          </w:p>
        </w:tc>
        <w:tc>
          <w:tcPr>
            <w:tcW w:w="810" w:type="dxa"/>
            <w:tcBorders>
              <w:top w:val="nil"/>
              <w:left w:val="nil"/>
              <w:bottom w:val="nil"/>
              <w:right w:val="nil"/>
            </w:tcBorders>
            <w:shd w:val="clear" w:color="auto" w:fill="auto"/>
            <w:noWrap/>
            <w:hideMark/>
          </w:tcPr>
          <w:p w14:paraId="2118E759"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2018</w:t>
            </w:r>
          </w:p>
        </w:tc>
        <w:tc>
          <w:tcPr>
            <w:tcW w:w="5850" w:type="dxa"/>
            <w:tcBorders>
              <w:top w:val="nil"/>
              <w:left w:val="nil"/>
              <w:bottom w:val="nil"/>
              <w:right w:val="nil"/>
            </w:tcBorders>
            <w:shd w:val="clear" w:color="auto" w:fill="auto"/>
            <w:noWrap/>
            <w:hideMark/>
          </w:tcPr>
          <w:p w14:paraId="0A93896A" w14:textId="49E8075E"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 xml:space="preserve">Determine if Mandarin-speaking EFL children improve word reading and spelling accuracy after instruction with </w:t>
            </w:r>
            <w:r w:rsidRPr="00EB68C9">
              <w:rPr>
                <w:rFonts w:eastAsia="Times New Roman"/>
                <w:color w:val="000000"/>
                <w:szCs w:val="24"/>
                <w:lang w:val="en-US"/>
              </w:rPr>
              <w:t xml:space="preserve">phonoblocks </w:t>
            </w:r>
            <w:r w:rsidRPr="0032250C">
              <w:rPr>
                <w:rFonts w:eastAsia="Times New Roman"/>
                <w:color w:val="000000"/>
                <w:szCs w:val="24"/>
                <w:lang w:val="en-US"/>
              </w:rPr>
              <w:t xml:space="preserve">on the words taught in the instruction and similar new words. </w:t>
            </w:r>
          </w:p>
        </w:tc>
        <w:tc>
          <w:tcPr>
            <w:tcW w:w="1806" w:type="dxa"/>
            <w:tcBorders>
              <w:top w:val="nil"/>
              <w:left w:val="nil"/>
              <w:bottom w:val="nil"/>
              <w:right w:val="nil"/>
            </w:tcBorders>
            <w:shd w:val="clear" w:color="auto" w:fill="auto"/>
            <w:noWrap/>
            <w:hideMark/>
          </w:tcPr>
          <w:p w14:paraId="590B6DA4" w14:textId="0141086A"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Phonoblocks</w:t>
            </w:r>
          </w:p>
        </w:tc>
        <w:tc>
          <w:tcPr>
            <w:tcW w:w="2796" w:type="dxa"/>
            <w:tcBorders>
              <w:top w:val="nil"/>
              <w:left w:val="nil"/>
              <w:bottom w:val="nil"/>
              <w:right w:val="nil"/>
            </w:tcBorders>
            <w:shd w:val="clear" w:color="auto" w:fill="auto"/>
            <w:noWrap/>
            <w:hideMark/>
          </w:tcPr>
          <w:p w14:paraId="7568E502" w14:textId="1BBDFAEF"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reading skills (not specified), spelling</w:t>
            </w:r>
          </w:p>
        </w:tc>
      </w:tr>
      <w:tr w:rsidR="00F82A7D" w:rsidRPr="00EB68C9" w14:paraId="4B6A49B4" w14:textId="77777777" w:rsidTr="00F82A7D">
        <w:trPr>
          <w:trHeight w:val="295"/>
        </w:trPr>
        <w:tc>
          <w:tcPr>
            <w:tcW w:w="1710" w:type="dxa"/>
            <w:tcBorders>
              <w:top w:val="nil"/>
              <w:left w:val="nil"/>
              <w:bottom w:val="nil"/>
              <w:right w:val="nil"/>
            </w:tcBorders>
          </w:tcPr>
          <w:p w14:paraId="5DE586B1" w14:textId="70BE485D" w:rsidR="00F82A7D" w:rsidRPr="0032250C" w:rsidRDefault="00F82A7D" w:rsidP="00F82A7D">
            <w:pPr>
              <w:spacing w:line="240" w:lineRule="auto"/>
              <w:rPr>
                <w:rFonts w:eastAsia="Times New Roman"/>
                <w:color w:val="000000"/>
                <w:szCs w:val="24"/>
                <w:lang w:val="en-US"/>
              </w:rPr>
            </w:pPr>
            <w:proofErr w:type="spellStart"/>
            <w:r w:rsidRPr="007775BF">
              <w:t>Kleinsz</w:t>
            </w:r>
            <w:proofErr w:type="spellEnd"/>
            <w:r w:rsidRPr="007775BF">
              <w:t xml:space="preserve"> et al (2017)</w:t>
            </w:r>
          </w:p>
        </w:tc>
        <w:tc>
          <w:tcPr>
            <w:tcW w:w="810" w:type="dxa"/>
            <w:tcBorders>
              <w:top w:val="nil"/>
              <w:left w:val="nil"/>
              <w:bottom w:val="nil"/>
              <w:right w:val="nil"/>
            </w:tcBorders>
            <w:shd w:val="clear" w:color="auto" w:fill="auto"/>
            <w:noWrap/>
            <w:hideMark/>
          </w:tcPr>
          <w:p w14:paraId="5AEB2091"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2017</w:t>
            </w:r>
          </w:p>
        </w:tc>
        <w:tc>
          <w:tcPr>
            <w:tcW w:w="5850" w:type="dxa"/>
            <w:tcBorders>
              <w:top w:val="nil"/>
              <w:left w:val="nil"/>
              <w:bottom w:val="nil"/>
              <w:right w:val="nil"/>
            </w:tcBorders>
            <w:shd w:val="clear" w:color="auto" w:fill="auto"/>
            <w:noWrap/>
            <w:hideMark/>
          </w:tcPr>
          <w:p w14:paraId="743A62B9"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Investigate the effects of two types of reading training administered in parallel to different subgroups of poor readers.</w:t>
            </w:r>
          </w:p>
        </w:tc>
        <w:tc>
          <w:tcPr>
            <w:tcW w:w="1806" w:type="dxa"/>
            <w:tcBorders>
              <w:top w:val="nil"/>
              <w:left w:val="nil"/>
              <w:bottom w:val="nil"/>
              <w:right w:val="nil"/>
            </w:tcBorders>
            <w:shd w:val="clear" w:color="auto" w:fill="auto"/>
            <w:noWrap/>
            <w:hideMark/>
          </w:tcPr>
          <w:p w14:paraId="7EEA45C5" w14:textId="6A1A0424"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Grapho-syllabic training</w:t>
            </w:r>
            <w:r w:rsidRPr="00EB68C9">
              <w:rPr>
                <w:rFonts w:eastAsia="Times New Roman"/>
                <w:color w:val="000000"/>
                <w:szCs w:val="24"/>
                <w:lang w:val="en-US"/>
              </w:rPr>
              <w:t xml:space="preserve">, </w:t>
            </w:r>
            <w:r w:rsidRPr="0032250C">
              <w:rPr>
                <w:rFonts w:eastAsia="Times New Roman"/>
                <w:color w:val="000000"/>
                <w:szCs w:val="24"/>
                <w:lang w:val="en-US"/>
              </w:rPr>
              <w:t>Comprehension training</w:t>
            </w:r>
          </w:p>
        </w:tc>
        <w:tc>
          <w:tcPr>
            <w:tcW w:w="2796" w:type="dxa"/>
            <w:tcBorders>
              <w:top w:val="nil"/>
              <w:left w:val="nil"/>
              <w:bottom w:val="nil"/>
              <w:right w:val="nil"/>
            </w:tcBorders>
            <w:shd w:val="clear" w:color="auto" w:fill="auto"/>
            <w:noWrap/>
            <w:hideMark/>
          </w:tcPr>
          <w:p w14:paraId="237E2996" w14:textId="4BAEFD8F"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 xml:space="preserve"> word reading, reading comprehension, phonological skills, vocabulary</w:t>
            </w:r>
          </w:p>
        </w:tc>
      </w:tr>
      <w:tr w:rsidR="00F82A7D" w:rsidRPr="00EB68C9" w14:paraId="45FCA70B" w14:textId="77777777" w:rsidTr="00F82A7D">
        <w:trPr>
          <w:trHeight w:val="295"/>
        </w:trPr>
        <w:tc>
          <w:tcPr>
            <w:tcW w:w="1710" w:type="dxa"/>
            <w:tcBorders>
              <w:top w:val="nil"/>
              <w:left w:val="nil"/>
              <w:bottom w:val="nil"/>
              <w:right w:val="nil"/>
            </w:tcBorders>
          </w:tcPr>
          <w:p w14:paraId="6791D30A" w14:textId="4EEB09E6" w:rsidR="00F82A7D" w:rsidRPr="0032250C" w:rsidRDefault="00F82A7D" w:rsidP="00F82A7D">
            <w:pPr>
              <w:spacing w:line="240" w:lineRule="auto"/>
              <w:rPr>
                <w:rFonts w:eastAsia="Times New Roman"/>
                <w:color w:val="000000"/>
                <w:szCs w:val="24"/>
                <w:lang w:val="en-US"/>
              </w:rPr>
            </w:pPr>
            <w:proofErr w:type="spellStart"/>
            <w:r w:rsidRPr="007775BF">
              <w:t>Gustafson</w:t>
            </w:r>
            <w:proofErr w:type="spellEnd"/>
            <w:r w:rsidRPr="007775BF">
              <w:t xml:space="preserve"> et al (2015)</w:t>
            </w:r>
          </w:p>
        </w:tc>
        <w:tc>
          <w:tcPr>
            <w:tcW w:w="810" w:type="dxa"/>
            <w:tcBorders>
              <w:top w:val="nil"/>
              <w:left w:val="nil"/>
              <w:bottom w:val="nil"/>
              <w:right w:val="nil"/>
            </w:tcBorders>
            <w:shd w:val="clear" w:color="auto" w:fill="auto"/>
            <w:noWrap/>
            <w:hideMark/>
          </w:tcPr>
          <w:p w14:paraId="68CA223D"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2015</w:t>
            </w:r>
          </w:p>
        </w:tc>
        <w:tc>
          <w:tcPr>
            <w:tcW w:w="5850" w:type="dxa"/>
            <w:tcBorders>
              <w:top w:val="nil"/>
              <w:left w:val="nil"/>
              <w:bottom w:val="nil"/>
              <w:right w:val="nil"/>
            </w:tcBorders>
            <w:shd w:val="clear" w:color="auto" w:fill="auto"/>
            <w:noWrap/>
            <w:hideMark/>
          </w:tcPr>
          <w:p w14:paraId="160B43FC" w14:textId="3DA61500"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 xml:space="preserve">Compare three different interventions, one focused on bottom-up processing, that is, phonological abilities and word decoding skills, and another on top-down processing </w:t>
            </w:r>
            <w:r w:rsidRPr="0032250C">
              <w:rPr>
                <w:rFonts w:eastAsia="Times New Roman"/>
                <w:color w:val="000000"/>
                <w:szCs w:val="24"/>
                <w:lang w:val="en-US"/>
              </w:rPr>
              <w:lastRenderedPageBreak/>
              <w:t>and comprehension and an intervention that combines phonological training and comprehension training.</w:t>
            </w:r>
          </w:p>
        </w:tc>
        <w:tc>
          <w:tcPr>
            <w:tcW w:w="1806" w:type="dxa"/>
            <w:tcBorders>
              <w:top w:val="nil"/>
              <w:left w:val="nil"/>
              <w:bottom w:val="nil"/>
              <w:right w:val="nil"/>
            </w:tcBorders>
            <w:shd w:val="clear" w:color="auto" w:fill="auto"/>
            <w:noWrap/>
            <w:hideMark/>
          </w:tcPr>
          <w:p w14:paraId="493BD810" w14:textId="287C2F7B"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lastRenderedPageBreak/>
              <w:t>COMPHOT</w:t>
            </w:r>
            <w:r w:rsidRPr="00EB68C9">
              <w:rPr>
                <w:rFonts w:eastAsia="Times New Roman"/>
                <w:color w:val="000000"/>
                <w:szCs w:val="24"/>
                <w:lang w:val="en-US"/>
              </w:rPr>
              <w:t xml:space="preserve">, </w:t>
            </w:r>
            <w:r w:rsidRPr="0032250C">
              <w:rPr>
                <w:rFonts w:eastAsia="Times New Roman"/>
                <w:color w:val="000000"/>
                <w:szCs w:val="24"/>
                <w:lang w:val="en-US"/>
              </w:rPr>
              <w:t xml:space="preserve">Omega-Interactive Sentences </w:t>
            </w:r>
          </w:p>
        </w:tc>
        <w:tc>
          <w:tcPr>
            <w:tcW w:w="2796" w:type="dxa"/>
            <w:tcBorders>
              <w:top w:val="nil"/>
              <w:left w:val="nil"/>
              <w:bottom w:val="nil"/>
              <w:right w:val="nil"/>
            </w:tcBorders>
            <w:shd w:val="clear" w:color="auto" w:fill="auto"/>
            <w:noWrap/>
            <w:hideMark/>
          </w:tcPr>
          <w:p w14:paraId="4E30ECE3" w14:textId="29B0E8EA"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reading comprehension, word reading, phonological skills</w:t>
            </w:r>
          </w:p>
        </w:tc>
      </w:tr>
      <w:tr w:rsidR="00F82A7D" w:rsidRPr="00EB68C9" w14:paraId="22CB61EE" w14:textId="77777777" w:rsidTr="00442E59">
        <w:trPr>
          <w:trHeight w:val="295"/>
        </w:trPr>
        <w:tc>
          <w:tcPr>
            <w:tcW w:w="1710" w:type="dxa"/>
            <w:tcBorders>
              <w:top w:val="nil"/>
              <w:left w:val="nil"/>
              <w:right w:val="nil"/>
            </w:tcBorders>
          </w:tcPr>
          <w:p w14:paraId="4292676C" w14:textId="29E7AEF9" w:rsidR="00F82A7D" w:rsidRPr="0032250C" w:rsidRDefault="00F82A7D" w:rsidP="00F82A7D">
            <w:pPr>
              <w:spacing w:line="240" w:lineRule="auto"/>
              <w:rPr>
                <w:rFonts w:eastAsia="Times New Roman"/>
                <w:color w:val="000000"/>
                <w:szCs w:val="24"/>
                <w:lang w:val="en-US"/>
              </w:rPr>
            </w:pPr>
            <w:proofErr w:type="spellStart"/>
            <w:r w:rsidRPr="007775BF">
              <w:t>Karemaker</w:t>
            </w:r>
            <w:proofErr w:type="spellEnd"/>
            <w:r w:rsidRPr="007775BF">
              <w:t xml:space="preserve"> et al (2010)</w:t>
            </w:r>
          </w:p>
        </w:tc>
        <w:tc>
          <w:tcPr>
            <w:tcW w:w="810" w:type="dxa"/>
            <w:tcBorders>
              <w:top w:val="nil"/>
              <w:left w:val="nil"/>
              <w:right w:val="nil"/>
            </w:tcBorders>
            <w:shd w:val="clear" w:color="auto" w:fill="auto"/>
            <w:noWrap/>
            <w:hideMark/>
          </w:tcPr>
          <w:p w14:paraId="13A07199"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2010</w:t>
            </w:r>
          </w:p>
        </w:tc>
        <w:tc>
          <w:tcPr>
            <w:tcW w:w="5850" w:type="dxa"/>
            <w:tcBorders>
              <w:top w:val="nil"/>
              <w:left w:val="nil"/>
              <w:right w:val="nil"/>
            </w:tcBorders>
            <w:shd w:val="clear" w:color="auto" w:fill="auto"/>
            <w:noWrap/>
            <w:hideMark/>
          </w:tcPr>
          <w:p w14:paraId="6C74854F"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Investigate if the whole-word multimedia software ‘ORT for Clicker’ facilitates developing literacy skills in Year 1 children that are struggling with learning to read.</w:t>
            </w:r>
          </w:p>
        </w:tc>
        <w:tc>
          <w:tcPr>
            <w:tcW w:w="1806" w:type="dxa"/>
            <w:tcBorders>
              <w:top w:val="nil"/>
              <w:left w:val="nil"/>
              <w:right w:val="nil"/>
            </w:tcBorders>
            <w:shd w:val="clear" w:color="auto" w:fill="auto"/>
            <w:noWrap/>
            <w:hideMark/>
          </w:tcPr>
          <w:p w14:paraId="4D2B141F" w14:textId="4079C61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Oxford Reading Tree</w:t>
            </w:r>
            <w:r w:rsidRPr="00EB68C9">
              <w:rPr>
                <w:rFonts w:eastAsia="Times New Roman"/>
                <w:color w:val="000000"/>
                <w:szCs w:val="24"/>
                <w:lang w:val="en-US"/>
              </w:rPr>
              <w:t xml:space="preserve"> </w:t>
            </w:r>
            <w:r w:rsidRPr="0032250C">
              <w:rPr>
                <w:rFonts w:eastAsia="Times New Roman"/>
                <w:color w:val="000000"/>
                <w:szCs w:val="24"/>
                <w:lang w:val="en-US"/>
              </w:rPr>
              <w:t xml:space="preserve">for Clicker </w:t>
            </w:r>
          </w:p>
        </w:tc>
        <w:tc>
          <w:tcPr>
            <w:tcW w:w="2796" w:type="dxa"/>
            <w:tcBorders>
              <w:top w:val="nil"/>
              <w:left w:val="nil"/>
              <w:right w:val="nil"/>
            </w:tcBorders>
            <w:shd w:val="clear" w:color="auto" w:fill="auto"/>
            <w:noWrap/>
            <w:hideMark/>
          </w:tcPr>
          <w:p w14:paraId="4E2A2F79" w14:textId="5773B0F6"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phonological skills, phonological skills</w:t>
            </w:r>
          </w:p>
        </w:tc>
      </w:tr>
      <w:tr w:rsidR="00F82A7D" w:rsidRPr="00EB68C9" w14:paraId="0B3EE52E" w14:textId="77777777" w:rsidTr="00442E59">
        <w:trPr>
          <w:trHeight w:val="295"/>
        </w:trPr>
        <w:tc>
          <w:tcPr>
            <w:tcW w:w="1710" w:type="dxa"/>
            <w:tcBorders>
              <w:top w:val="nil"/>
              <w:left w:val="nil"/>
              <w:bottom w:val="single" w:sz="4" w:space="0" w:color="auto"/>
              <w:right w:val="nil"/>
            </w:tcBorders>
          </w:tcPr>
          <w:p w14:paraId="45C71B3C" w14:textId="383047F2" w:rsidR="00F82A7D" w:rsidRPr="0032250C" w:rsidRDefault="00F82A7D" w:rsidP="00F82A7D">
            <w:pPr>
              <w:spacing w:line="240" w:lineRule="auto"/>
              <w:rPr>
                <w:rFonts w:eastAsia="Times New Roman"/>
                <w:color w:val="000000"/>
                <w:szCs w:val="24"/>
                <w:lang w:val="en-US"/>
              </w:rPr>
            </w:pPr>
            <w:proofErr w:type="spellStart"/>
            <w:r w:rsidRPr="007775BF">
              <w:t>Messer</w:t>
            </w:r>
            <w:proofErr w:type="spellEnd"/>
            <w:r w:rsidRPr="007775BF">
              <w:t xml:space="preserve"> et al (2018)</w:t>
            </w:r>
          </w:p>
        </w:tc>
        <w:tc>
          <w:tcPr>
            <w:tcW w:w="810" w:type="dxa"/>
            <w:tcBorders>
              <w:top w:val="nil"/>
              <w:left w:val="nil"/>
              <w:bottom w:val="single" w:sz="4" w:space="0" w:color="auto"/>
              <w:right w:val="nil"/>
            </w:tcBorders>
            <w:shd w:val="clear" w:color="auto" w:fill="auto"/>
            <w:noWrap/>
            <w:hideMark/>
          </w:tcPr>
          <w:p w14:paraId="636B7712"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2018</w:t>
            </w:r>
          </w:p>
        </w:tc>
        <w:tc>
          <w:tcPr>
            <w:tcW w:w="5850" w:type="dxa"/>
            <w:tcBorders>
              <w:top w:val="nil"/>
              <w:left w:val="nil"/>
              <w:bottom w:val="single" w:sz="4" w:space="0" w:color="auto"/>
              <w:right w:val="nil"/>
            </w:tcBorders>
            <w:shd w:val="clear" w:color="auto" w:fill="auto"/>
            <w:noWrap/>
            <w:hideMark/>
          </w:tcPr>
          <w:p w14:paraId="718D5A53" w14:textId="77777777" w:rsidR="00F82A7D" w:rsidRPr="0032250C" w:rsidRDefault="00F82A7D" w:rsidP="00F82A7D">
            <w:pPr>
              <w:spacing w:line="240" w:lineRule="auto"/>
              <w:rPr>
                <w:rFonts w:eastAsia="Times New Roman"/>
                <w:color w:val="000000"/>
                <w:szCs w:val="24"/>
                <w:lang w:val="en-US"/>
              </w:rPr>
            </w:pPr>
            <w:r w:rsidRPr="0032250C">
              <w:rPr>
                <w:rFonts w:eastAsia="Times New Roman"/>
                <w:color w:val="000000"/>
                <w:szCs w:val="24"/>
                <w:lang w:val="en-US"/>
              </w:rPr>
              <w:t>Determine whether the use of a computer computer-assisted intervention that uses visual mnemonics as part of the tutorial process helps the development of reading abilities.</w:t>
            </w:r>
          </w:p>
        </w:tc>
        <w:tc>
          <w:tcPr>
            <w:tcW w:w="1806" w:type="dxa"/>
            <w:tcBorders>
              <w:top w:val="nil"/>
              <w:left w:val="nil"/>
              <w:bottom w:val="single" w:sz="4" w:space="0" w:color="auto"/>
              <w:right w:val="nil"/>
            </w:tcBorders>
            <w:shd w:val="clear" w:color="auto" w:fill="auto"/>
            <w:noWrap/>
            <w:hideMark/>
          </w:tcPr>
          <w:p w14:paraId="56CF1A30" w14:textId="21A889EA"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Trainertext</w:t>
            </w:r>
          </w:p>
        </w:tc>
        <w:tc>
          <w:tcPr>
            <w:tcW w:w="2796" w:type="dxa"/>
            <w:tcBorders>
              <w:top w:val="nil"/>
              <w:left w:val="nil"/>
              <w:bottom w:val="single" w:sz="4" w:space="0" w:color="auto"/>
              <w:right w:val="nil"/>
            </w:tcBorders>
            <w:shd w:val="clear" w:color="auto" w:fill="auto"/>
            <w:noWrap/>
            <w:hideMark/>
          </w:tcPr>
          <w:p w14:paraId="651FAD0E" w14:textId="48498F44" w:rsidR="00F82A7D" w:rsidRPr="0032250C" w:rsidRDefault="00F82A7D" w:rsidP="00F82A7D">
            <w:pPr>
              <w:spacing w:line="240" w:lineRule="auto"/>
              <w:rPr>
                <w:rFonts w:eastAsia="Times New Roman"/>
                <w:color w:val="000000"/>
                <w:szCs w:val="24"/>
                <w:lang w:val="en-US"/>
              </w:rPr>
            </w:pPr>
            <w:r w:rsidRPr="00EB68C9">
              <w:rPr>
                <w:rFonts w:eastAsia="Times New Roman"/>
                <w:color w:val="000000"/>
                <w:szCs w:val="24"/>
                <w:lang w:val="en-US"/>
              </w:rPr>
              <w:t>phonological skills, rapid automatized naming, spelling</w:t>
            </w:r>
          </w:p>
        </w:tc>
      </w:tr>
    </w:tbl>
    <w:p w14:paraId="1E19B70E" w14:textId="1AC24238" w:rsidR="00810494" w:rsidRPr="00EB68C9" w:rsidRDefault="00442E59" w:rsidP="0032250C">
      <w:pPr>
        <w:pStyle w:val="APA-texto"/>
        <w:spacing w:line="240" w:lineRule="auto"/>
        <w:rPr>
          <w:szCs w:val="24"/>
          <w:lang w:val="en-US"/>
        </w:rPr>
      </w:pPr>
      <w:bookmarkStart w:id="0" w:name="_GoBack"/>
      <w:bookmarkEnd w:id="0"/>
    </w:p>
    <w:sectPr w:rsidR="00810494" w:rsidRPr="00EB68C9" w:rsidSect="008478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0"/>
  </w:num>
  <w:num w:numId="2">
    <w:abstractNumId w:val="2"/>
  </w:num>
  <w:num w:numId="3">
    <w:abstractNumId w:val="4"/>
  </w:num>
  <w:num w:numId="4">
    <w:abstractNumId w:val="4"/>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0C"/>
    <w:rsid w:val="000363D9"/>
    <w:rsid w:val="00072B28"/>
    <w:rsid w:val="00074BFA"/>
    <w:rsid w:val="000C299B"/>
    <w:rsid w:val="00113152"/>
    <w:rsid w:val="00140446"/>
    <w:rsid w:val="001D1AD2"/>
    <w:rsid w:val="001E5B4E"/>
    <w:rsid w:val="002A1B99"/>
    <w:rsid w:val="002A6E5C"/>
    <w:rsid w:val="002C47B1"/>
    <w:rsid w:val="00305D10"/>
    <w:rsid w:val="00315DCA"/>
    <w:rsid w:val="0032250C"/>
    <w:rsid w:val="00332BEF"/>
    <w:rsid w:val="003747DC"/>
    <w:rsid w:val="003B6C48"/>
    <w:rsid w:val="003C3878"/>
    <w:rsid w:val="003F09A2"/>
    <w:rsid w:val="00442E59"/>
    <w:rsid w:val="00461C53"/>
    <w:rsid w:val="00475214"/>
    <w:rsid w:val="004A1EAF"/>
    <w:rsid w:val="004D33D0"/>
    <w:rsid w:val="005E144B"/>
    <w:rsid w:val="006006D9"/>
    <w:rsid w:val="00611084"/>
    <w:rsid w:val="00655AFF"/>
    <w:rsid w:val="00673817"/>
    <w:rsid w:val="006F2240"/>
    <w:rsid w:val="00706921"/>
    <w:rsid w:val="00710A82"/>
    <w:rsid w:val="007E0996"/>
    <w:rsid w:val="00845057"/>
    <w:rsid w:val="0084787F"/>
    <w:rsid w:val="00853CC8"/>
    <w:rsid w:val="0088092D"/>
    <w:rsid w:val="0089336D"/>
    <w:rsid w:val="008A5E35"/>
    <w:rsid w:val="008D0D44"/>
    <w:rsid w:val="008D3FBF"/>
    <w:rsid w:val="008D7188"/>
    <w:rsid w:val="008E5F37"/>
    <w:rsid w:val="008F3927"/>
    <w:rsid w:val="00923AC1"/>
    <w:rsid w:val="009360DC"/>
    <w:rsid w:val="0099398D"/>
    <w:rsid w:val="009F4613"/>
    <w:rsid w:val="00A04651"/>
    <w:rsid w:val="00A2137A"/>
    <w:rsid w:val="00A47FE4"/>
    <w:rsid w:val="00A8455D"/>
    <w:rsid w:val="00A850EB"/>
    <w:rsid w:val="00AD2345"/>
    <w:rsid w:val="00AD456B"/>
    <w:rsid w:val="00B834ED"/>
    <w:rsid w:val="00BA16B7"/>
    <w:rsid w:val="00D122A5"/>
    <w:rsid w:val="00D30B46"/>
    <w:rsid w:val="00D44E46"/>
    <w:rsid w:val="00D57E03"/>
    <w:rsid w:val="00D77949"/>
    <w:rsid w:val="00D92807"/>
    <w:rsid w:val="00DA7533"/>
    <w:rsid w:val="00DE4A9A"/>
    <w:rsid w:val="00DF2E41"/>
    <w:rsid w:val="00E50E67"/>
    <w:rsid w:val="00E979E4"/>
    <w:rsid w:val="00EB68C9"/>
    <w:rsid w:val="00EC32A6"/>
    <w:rsid w:val="00F82A7D"/>
    <w:rsid w:val="00F84E4C"/>
    <w:rsid w:val="00F91542"/>
    <w:rsid w:val="00FB39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AA89"/>
  <w15:chartTrackingRefBased/>
  <w15:docId w15:val="{6B81E2B0-D2B3-8949-8C99-67E42A3E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D122A5"/>
    <w:pPr>
      <w:spacing w:before="120" w:after="1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32250C"/>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693">
      <w:bodyDiv w:val="1"/>
      <w:marLeft w:val="0"/>
      <w:marRight w:val="0"/>
      <w:marTop w:val="0"/>
      <w:marBottom w:val="0"/>
      <w:divBdr>
        <w:top w:val="none" w:sz="0" w:space="0" w:color="auto"/>
        <w:left w:val="none" w:sz="0" w:space="0" w:color="auto"/>
        <w:bottom w:val="none" w:sz="0" w:space="0" w:color="auto"/>
        <w:right w:val="none" w:sz="0" w:space="0" w:color="auto"/>
      </w:divBdr>
    </w:div>
    <w:div w:id="57827807">
      <w:bodyDiv w:val="1"/>
      <w:marLeft w:val="0"/>
      <w:marRight w:val="0"/>
      <w:marTop w:val="0"/>
      <w:marBottom w:val="0"/>
      <w:divBdr>
        <w:top w:val="none" w:sz="0" w:space="0" w:color="auto"/>
        <w:left w:val="none" w:sz="0" w:space="0" w:color="auto"/>
        <w:bottom w:val="none" w:sz="0" w:space="0" w:color="auto"/>
        <w:right w:val="none" w:sz="0" w:space="0" w:color="auto"/>
      </w:divBdr>
    </w:div>
    <w:div w:id="123739404">
      <w:bodyDiv w:val="1"/>
      <w:marLeft w:val="0"/>
      <w:marRight w:val="0"/>
      <w:marTop w:val="0"/>
      <w:marBottom w:val="0"/>
      <w:divBdr>
        <w:top w:val="none" w:sz="0" w:space="0" w:color="auto"/>
        <w:left w:val="none" w:sz="0" w:space="0" w:color="auto"/>
        <w:bottom w:val="none" w:sz="0" w:space="0" w:color="auto"/>
        <w:right w:val="none" w:sz="0" w:space="0" w:color="auto"/>
      </w:divBdr>
    </w:div>
    <w:div w:id="338897784">
      <w:bodyDiv w:val="1"/>
      <w:marLeft w:val="0"/>
      <w:marRight w:val="0"/>
      <w:marTop w:val="0"/>
      <w:marBottom w:val="0"/>
      <w:divBdr>
        <w:top w:val="none" w:sz="0" w:space="0" w:color="auto"/>
        <w:left w:val="none" w:sz="0" w:space="0" w:color="auto"/>
        <w:bottom w:val="none" w:sz="0" w:space="0" w:color="auto"/>
        <w:right w:val="none" w:sz="0" w:space="0" w:color="auto"/>
      </w:divBdr>
    </w:div>
    <w:div w:id="558828936">
      <w:bodyDiv w:val="1"/>
      <w:marLeft w:val="0"/>
      <w:marRight w:val="0"/>
      <w:marTop w:val="0"/>
      <w:marBottom w:val="0"/>
      <w:divBdr>
        <w:top w:val="none" w:sz="0" w:space="0" w:color="auto"/>
        <w:left w:val="none" w:sz="0" w:space="0" w:color="auto"/>
        <w:bottom w:val="none" w:sz="0" w:space="0" w:color="auto"/>
        <w:right w:val="none" w:sz="0" w:space="0" w:color="auto"/>
      </w:divBdr>
    </w:div>
    <w:div w:id="808402461">
      <w:bodyDiv w:val="1"/>
      <w:marLeft w:val="0"/>
      <w:marRight w:val="0"/>
      <w:marTop w:val="0"/>
      <w:marBottom w:val="0"/>
      <w:divBdr>
        <w:top w:val="none" w:sz="0" w:space="0" w:color="auto"/>
        <w:left w:val="none" w:sz="0" w:space="0" w:color="auto"/>
        <w:bottom w:val="none" w:sz="0" w:space="0" w:color="auto"/>
        <w:right w:val="none" w:sz="0" w:space="0" w:color="auto"/>
      </w:divBdr>
    </w:div>
    <w:div w:id="898172630">
      <w:bodyDiv w:val="1"/>
      <w:marLeft w:val="0"/>
      <w:marRight w:val="0"/>
      <w:marTop w:val="0"/>
      <w:marBottom w:val="0"/>
      <w:divBdr>
        <w:top w:val="none" w:sz="0" w:space="0" w:color="auto"/>
        <w:left w:val="none" w:sz="0" w:space="0" w:color="auto"/>
        <w:bottom w:val="none" w:sz="0" w:space="0" w:color="auto"/>
        <w:right w:val="none" w:sz="0" w:space="0" w:color="auto"/>
      </w:divBdr>
    </w:div>
    <w:div w:id="1027868557">
      <w:bodyDiv w:val="1"/>
      <w:marLeft w:val="0"/>
      <w:marRight w:val="0"/>
      <w:marTop w:val="0"/>
      <w:marBottom w:val="0"/>
      <w:divBdr>
        <w:top w:val="none" w:sz="0" w:space="0" w:color="auto"/>
        <w:left w:val="none" w:sz="0" w:space="0" w:color="auto"/>
        <w:bottom w:val="none" w:sz="0" w:space="0" w:color="auto"/>
        <w:right w:val="none" w:sz="0" w:space="0" w:color="auto"/>
      </w:divBdr>
    </w:div>
    <w:div w:id="19355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1ACCC8-FC5A-4641-832A-0F0212ADEDFF}">
  <ds:schemaRefs>
    <ds:schemaRef ds:uri="http://schemas.microsoft.com/sharepoint/v3/contenttype/forms"/>
  </ds:schemaRefs>
</ds:datastoreItem>
</file>

<file path=customXml/itemProps2.xml><?xml version="1.0" encoding="utf-8"?>
<ds:datastoreItem xmlns:ds="http://schemas.openxmlformats.org/officeDocument/2006/customXml" ds:itemID="{8B934B9A-2293-41EA-92D4-7D2DB645FE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52FDA9-0B15-46C7-8699-EBDA3BBB5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8</cp:revision>
  <dcterms:created xsi:type="dcterms:W3CDTF">2019-09-21T22:39:00Z</dcterms:created>
  <dcterms:modified xsi:type="dcterms:W3CDTF">2019-09-22T01:07:00Z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ies>
</file>