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E2129" w14:textId="77777777" w:rsidR="00920768" w:rsidRPr="006110F6" w:rsidRDefault="00920768" w:rsidP="00920768">
      <w:pPr>
        <w:rPr>
          <w:rFonts w:ascii="Brill" w:hAnsi="Brill"/>
          <w:color w:val="FF0000"/>
          <w:sz w:val="28"/>
          <w:szCs w:val="28"/>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xiii</w:t>
      </w:r>
      <w:r w:rsidRPr="006110F6">
        <w:rPr>
          <w:rFonts w:ascii="Brill" w:eastAsia="Aptos" w:hAnsi="Brill"/>
          <w:color w:val="FF0000"/>
          <w:sz w:val="28"/>
          <w:szCs w:val="28"/>
          <w:lang w:val="fr-FR"/>
        </w:rPr>
        <w:t xml:space="preserve">. Qui </w:t>
      </w:r>
      <w:proofErr w:type="spellStart"/>
      <w:r w:rsidRPr="006110F6">
        <w:rPr>
          <w:rFonts w:ascii="Brill" w:eastAsia="Aptos" w:hAnsi="Brill"/>
          <w:color w:val="FF0000"/>
          <w:sz w:val="28"/>
          <w:szCs w:val="28"/>
          <w:lang w:val="fr-FR"/>
        </w:rPr>
        <w:t>potuerit</w:t>
      </w:r>
      <w:proofErr w:type="spellEnd"/>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beata</w:t>
      </w:r>
      <w:proofErr w:type="spellEnd"/>
      <w:r w:rsidRPr="006110F6">
        <w:rPr>
          <w:rFonts w:ascii="Brill" w:eastAsia="Aptos" w:hAnsi="Brill"/>
          <w:color w:val="FF0000"/>
          <w:sz w:val="28"/>
          <w:szCs w:val="28"/>
          <w:lang w:val="fr-FR"/>
        </w:rPr>
        <w:t xml:space="preserve"> Maria </w:t>
      </w:r>
      <w:proofErr w:type="spellStart"/>
      <w:r w:rsidRPr="006110F6">
        <w:rPr>
          <w:rFonts w:ascii="Brill" w:eastAsia="Aptos" w:hAnsi="Brill"/>
          <w:color w:val="FF0000"/>
          <w:sz w:val="28"/>
          <w:szCs w:val="28"/>
          <w:lang w:val="fr-FR"/>
        </w:rPr>
        <w:t>virgo</w:t>
      </w:r>
      <w:proofErr w:type="spellEnd"/>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permanere</w:t>
      </w:r>
      <w:proofErr w:type="spellEnd"/>
      <w:r w:rsidRPr="006110F6">
        <w:rPr>
          <w:rFonts w:ascii="Brill" w:eastAsia="Aptos" w:hAnsi="Brill"/>
          <w:color w:val="FF0000"/>
          <w:sz w:val="28"/>
          <w:szCs w:val="28"/>
          <w:lang w:val="fr-FR"/>
        </w:rPr>
        <w:t xml:space="preserve">, </w:t>
      </w:r>
      <w:proofErr w:type="spellStart"/>
      <w:r w:rsidRPr="006110F6">
        <w:rPr>
          <w:rFonts w:ascii="Brill" w:eastAsia="Aptos" w:hAnsi="Brill"/>
          <w:color w:val="FF0000"/>
          <w:sz w:val="28"/>
          <w:szCs w:val="28"/>
          <w:lang w:val="fr-FR"/>
        </w:rPr>
        <w:t>postquam</w:t>
      </w:r>
      <w:proofErr w:type="spellEnd"/>
      <w:r w:rsidRPr="006110F6">
        <w:rPr>
          <w:rFonts w:ascii="Brill" w:eastAsia="Aptos" w:hAnsi="Brill"/>
          <w:color w:val="FF0000"/>
          <w:sz w:val="28"/>
          <w:szCs w:val="28"/>
          <w:lang w:val="fr-FR"/>
        </w:rPr>
        <w:t xml:space="preserve"> Christus Dominus </w:t>
      </w:r>
      <w:proofErr w:type="spellStart"/>
      <w:r w:rsidRPr="006110F6">
        <w:rPr>
          <w:rFonts w:ascii="Brill" w:eastAsia="Aptos" w:hAnsi="Brill"/>
          <w:color w:val="FF0000"/>
          <w:sz w:val="28"/>
          <w:szCs w:val="28"/>
          <w:lang w:val="fr-FR"/>
        </w:rPr>
        <w:t>natus</w:t>
      </w:r>
      <w:proofErr w:type="spellEnd"/>
      <w:r w:rsidRPr="006110F6">
        <w:rPr>
          <w:rFonts w:ascii="Brill" w:eastAsia="Aptos" w:hAnsi="Brill"/>
          <w:color w:val="FF0000"/>
          <w:sz w:val="28"/>
          <w:szCs w:val="28"/>
          <w:lang w:val="fr-FR"/>
        </w:rPr>
        <w:t xml:space="preserve"> ex </w:t>
      </w:r>
      <w:proofErr w:type="spellStart"/>
      <w:r w:rsidRPr="006110F6">
        <w:rPr>
          <w:rFonts w:ascii="Brill" w:eastAsia="Aptos" w:hAnsi="Brill"/>
          <w:color w:val="FF0000"/>
          <w:sz w:val="28"/>
          <w:szCs w:val="28"/>
          <w:lang w:val="fr-FR"/>
        </w:rPr>
        <w:t>ea</w:t>
      </w:r>
      <w:proofErr w:type="spellEnd"/>
      <w:r w:rsidRPr="006110F6">
        <w:rPr>
          <w:rFonts w:ascii="Brill" w:eastAsia="Aptos" w:hAnsi="Brill"/>
          <w:color w:val="FF0000"/>
          <w:sz w:val="28"/>
          <w:szCs w:val="28"/>
          <w:lang w:val="fr-FR"/>
        </w:rPr>
        <w:t xml:space="preserve"> </w:t>
      </w:r>
      <w:proofErr w:type="gramStart"/>
      <w:r w:rsidRPr="006110F6">
        <w:rPr>
          <w:rFonts w:ascii="Brill" w:eastAsia="Aptos" w:hAnsi="Brill"/>
          <w:color w:val="FF0000"/>
          <w:sz w:val="28"/>
          <w:szCs w:val="28"/>
          <w:lang w:val="fr-FR"/>
        </w:rPr>
        <w:t>fuit?</w:t>
      </w:r>
      <w:proofErr w:type="gramEnd"/>
    </w:p>
    <w:p w14:paraId="15EB0FBE" w14:textId="77777777" w:rsidR="00920768" w:rsidRPr="007E676B" w:rsidRDefault="00920768" w:rsidP="00920768">
      <w:pPr>
        <w:rPr>
          <w:rFonts w:ascii="Brill" w:hAnsi="Brill"/>
        </w:rPr>
      </w:pPr>
    </w:p>
    <w:p w14:paraId="75C7AA70" w14:textId="77777777" w:rsidR="00920768" w:rsidRPr="007E676B" w:rsidRDefault="00920768" w:rsidP="00920768">
      <w:pPr>
        <w:rPr>
          <w:rFonts w:ascii="Brill" w:hAnsi="Brill"/>
        </w:rPr>
      </w:pPr>
      <w:r w:rsidRPr="007E676B">
        <w:rPr>
          <w:rFonts w:ascii="Brill" w:hAnsi="Brill"/>
        </w:rPr>
        <w:t>Postulavit auditor et ait:</w:t>
      </w:r>
    </w:p>
    <w:p w14:paraId="07E2704B" w14:textId="77777777" w:rsidR="00920768" w:rsidRPr="007E676B" w:rsidRDefault="00920768" w:rsidP="00920768">
      <w:pPr>
        <w:rPr>
          <w:rFonts w:ascii="Brill" w:hAnsi="Brill"/>
        </w:rPr>
      </w:pPr>
    </w:p>
    <w:p w14:paraId="14FAAC6A" w14:textId="77777777" w:rsidR="00920768" w:rsidRPr="007E676B" w:rsidRDefault="00920768" w:rsidP="00920768">
      <w:pPr>
        <w:rPr>
          <w:rFonts w:ascii="Brill" w:hAnsi="Brill"/>
        </w:rPr>
      </w:pPr>
      <w:r w:rsidRPr="007E676B">
        <w:rPr>
          <w:rFonts w:ascii="Brill" w:hAnsi="Brill"/>
        </w:rPr>
        <w:t>—Praeceptor mi Domine, post Christi Domini nativitatem ex Maria Virgine, quo pacto potuit accidere ut adhec in virginitate persisteret?</w:t>
      </w:r>
    </w:p>
    <w:p w14:paraId="6FB516B4" w14:textId="77777777" w:rsidR="00920768" w:rsidRPr="007E676B" w:rsidRDefault="00920768" w:rsidP="00920768">
      <w:pPr>
        <w:rPr>
          <w:rFonts w:ascii="Brill" w:hAnsi="Brill"/>
        </w:rPr>
      </w:pPr>
    </w:p>
    <w:p w14:paraId="1134DA13" w14:textId="77777777" w:rsidR="00920768" w:rsidRPr="007E676B" w:rsidRDefault="00920768" w:rsidP="00920768">
      <w:pPr>
        <w:rPr>
          <w:rFonts w:ascii="Brill" w:hAnsi="Brill"/>
        </w:rPr>
      </w:pPr>
      <w:r w:rsidRPr="007E676B">
        <w:rPr>
          <w:rFonts w:ascii="Brill" w:hAnsi="Brill"/>
        </w:rPr>
        <w:t>Hoc —inquit magister—, haud explicare poteram</w:t>
      </w:r>
      <w:r w:rsidRPr="007E676B">
        <w:rPr>
          <w:rStyle w:val="Appelnotedebasdep"/>
          <w:rFonts w:ascii="Brill" w:hAnsi="Brill"/>
        </w:rPr>
        <w:footnoteReference w:id="1"/>
      </w:r>
      <w:r w:rsidRPr="007E676B">
        <w:rPr>
          <w:rFonts w:ascii="Brill" w:hAnsi="Brill"/>
        </w:rPr>
        <w:t xml:space="preserve"> naturae discursu et ratione, sed oportet te scire ipsum Dominum potentia sua effecisse ut ex ea carnem sibi copularet, quin violaretur, et absque corruptione quam in se persentisceret. Simili tamen quodam id explicabo. Attende:</w:t>
      </w:r>
    </w:p>
    <w:p w14:paraId="339EC6EC" w14:textId="77777777" w:rsidR="00920768" w:rsidRPr="007E676B" w:rsidRDefault="00920768" w:rsidP="00920768">
      <w:pPr>
        <w:rPr>
          <w:rFonts w:ascii="Brill" w:hAnsi="Brill"/>
        </w:rPr>
      </w:pPr>
    </w:p>
    <w:p w14:paraId="6D42122A" w14:textId="77777777" w:rsidR="00920768" w:rsidRPr="007E676B" w:rsidRDefault="00920768" w:rsidP="00920768">
      <w:pPr>
        <w:rPr>
          <w:rFonts w:ascii="Brill" w:hAnsi="Brill"/>
        </w:rPr>
      </w:pPr>
      <w:r w:rsidRPr="007E676B">
        <w:rPr>
          <w:rFonts w:ascii="Brill" w:hAnsi="Brill"/>
        </w:rPr>
        <w:t>Vitreum poculum, quod fit ex vitro quod natura sua spissum densumque est, ac proinde aquam sive vinum infussum continere potest, ut neque ibidem absumatur donec effundatur. Igitur vitrium illud, tam stipatum et concretum natura sua, conspicaberis solari radio transverberatum et penetratum, ulla absque fractione et corruptione.</w:t>
      </w:r>
    </w:p>
    <w:p w14:paraId="1ABFCB92" w14:textId="77777777" w:rsidR="00920768" w:rsidRPr="007E676B" w:rsidRDefault="00920768" w:rsidP="00920768">
      <w:pPr>
        <w:rPr>
          <w:rFonts w:ascii="Brill" w:hAnsi="Brill"/>
        </w:rPr>
      </w:pPr>
    </w:p>
    <w:p w14:paraId="73A46A7C" w14:textId="57FAC33E" w:rsidR="00D17F4F" w:rsidRPr="00920768" w:rsidRDefault="00920768" w:rsidP="00920768">
      <w:pPr>
        <w:rPr>
          <w:rFonts w:ascii="Brill" w:hAnsi="Brill"/>
        </w:rPr>
      </w:pPr>
      <w:r w:rsidRPr="007E676B">
        <w:rPr>
          <w:rFonts w:ascii="Brill" w:hAnsi="Brill"/>
        </w:rPr>
        <w:t>Et quemadmodum Sol vertitur atque ab situ demutatur, ita radius facessit remeatque qua pervasit</w:t>
      </w:r>
      <w:r w:rsidRPr="007E676B">
        <w:rPr>
          <w:rStyle w:val="Appelnotedebasdep"/>
          <w:rFonts w:ascii="Brill" w:hAnsi="Brill"/>
        </w:rPr>
        <w:footnoteReference w:id="2"/>
      </w:r>
      <w:r w:rsidRPr="007E676B">
        <w:rPr>
          <w:rFonts w:ascii="Brill" w:hAnsi="Brill"/>
        </w:rPr>
        <w:t xml:space="preserve"> pridem, relinquens vitrum integrum et illaesum, atque prius fuerat. Huiusmodi contigit sanctissimae Mariae, cum Christum Iesum concepit ante et postquam peperit. Nec reperimus qui aliam rationem efficatiorem reddat: totum enim stupendum miraculum fuit, quod se ipsomet placuit Deo edere in Virgine beata Maria, Genitrice eius.</w:t>
      </w:r>
    </w:p>
    <w:sectPr w:rsidR="00D17F4F" w:rsidRPr="009207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57FC2" w14:textId="77777777" w:rsidR="00124461" w:rsidRDefault="00124461" w:rsidP="005D297D">
      <w:r>
        <w:separator/>
      </w:r>
    </w:p>
  </w:endnote>
  <w:endnote w:type="continuationSeparator" w:id="0">
    <w:p w14:paraId="6369680A" w14:textId="77777777" w:rsidR="00124461" w:rsidRDefault="00124461" w:rsidP="005D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DBC0B" w14:textId="77777777" w:rsidR="00124461" w:rsidRDefault="00124461" w:rsidP="005D297D">
      <w:r>
        <w:separator/>
      </w:r>
    </w:p>
  </w:footnote>
  <w:footnote w:type="continuationSeparator" w:id="0">
    <w:p w14:paraId="39F84E54" w14:textId="77777777" w:rsidR="00124461" w:rsidRDefault="00124461" w:rsidP="005D297D">
      <w:r>
        <w:continuationSeparator/>
      </w:r>
    </w:p>
  </w:footnote>
  <w:footnote w:id="1">
    <w:p w14:paraId="2BC98AD4" w14:textId="77777777" w:rsidR="00920768" w:rsidRPr="008F7B4A" w:rsidRDefault="00920768" w:rsidP="00920768">
      <w:pPr>
        <w:pStyle w:val="Notedebasdepage"/>
        <w:rPr>
          <w:rFonts w:ascii="Brill" w:hAnsi="Brill"/>
        </w:rPr>
      </w:pPr>
      <w:r w:rsidRPr="008F7B4A">
        <w:rPr>
          <w:rStyle w:val="Appelnotedebasdep"/>
          <w:rFonts w:ascii="Brill" w:hAnsi="Brill"/>
        </w:rPr>
        <w:footnoteRef/>
      </w:r>
      <w:r w:rsidRPr="008F7B4A">
        <w:rPr>
          <w:rFonts w:ascii="Brill" w:hAnsi="Brill"/>
        </w:rPr>
        <w:t xml:space="preserve"> poteram] poterat </w:t>
      </w:r>
      <w:r w:rsidRPr="008F7B4A">
        <w:rPr>
          <w:rFonts w:ascii="Brill" w:hAnsi="Brill"/>
          <w:i/>
          <w:iCs/>
        </w:rPr>
        <w:t>in</w:t>
      </w:r>
      <w:r w:rsidRPr="008F7B4A">
        <w:rPr>
          <w:rFonts w:ascii="Brill" w:hAnsi="Brill"/>
        </w:rPr>
        <w:t xml:space="preserve"> poteram </w:t>
      </w:r>
      <w:r w:rsidRPr="008F7B4A">
        <w:rPr>
          <w:rFonts w:ascii="Brill" w:hAnsi="Brill"/>
          <w:i/>
          <w:iCs/>
        </w:rPr>
        <w:t>corr. N</w:t>
      </w:r>
    </w:p>
  </w:footnote>
  <w:footnote w:id="2">
    <w:p w14:paraId="6DDFA607" w14:textId="77777777" w:rsidR="00920768" w:rsidRPr="008F7B4A" w:rsidRDefault="00920768" w:rsidP="00920768">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pervasit] perva**it </w:t>
      </w:r>
      <w:r w:rsidRPr="008F7B4A">
        <w:rPr>
          <w:rFonts w:ascii="Brill" w:hAnsi="Brill"/>
          <w:i/>
          <w:iCs/>
        </w:rPr>
        <w:t xml:space="preserve">in </w:t>
      </w:r>
      <w:r w:rsidRPr="008F7B4A">
        <w:rPr>
          <w:rFonts w:ascii="Brill" w:hAnsi="Brill"/>
        </w:rPr>
        <w:t xml:space="preserve">pervasit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50"/>
    <w:rsid w:val="00124461"/>
    <w:rsid w:val="00135F8A"/>
    <w:rsid w:val="00154A8E"/>
    <w:rsid w:val="002933A1"/>
    <w:rsid w:val="00343C09"/>
    <w:rsid w:val="0036557E"/>
    <w:rsid w:val="00480207"/>
    <w:rsid w:val="005320EF"/>
    <w:rsid w:val="005817CB"/>
    <w:rsid w:val="00595085"/>
    <w:rsid w:val="005D297D"/>
    <w:rsid w:val="00823118"/>
    <w:rsid w:val="00865EC0"/>
    <w:rsid w:val="00920768"/>
    <w:rsid w:val="00A121EC"/>
    <w:rsid w:val="00AC6C20"/>
    <w:rsid w:val="00B93050"/>
    <w:rsid w:val="00D17F4F"/>
    <w:rsid w:val="00DA0501"/>
    <w:rsid w:val="00DA6E6C"/>
    <w:rsid w:val="00E32F65"/>
    <w:rsid w:val="00EC5744"/>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9BF80B"/>
  <w15:chartTrackingRefBased/>
  <w15:docId w15:val="{E9709748-4638-A948-A12C-3B57A150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768"/>
  </w:style>
  <w:style w:type="paragraph" w:styleId="Titre1">
    <w:name w:val="heading 1"/>
    <w:basedOn w:val="Normal"/>
    <w:next w:val="Normal"/>
    <w:link w:val="Titre1Car"/>
    <w:uiPriority w:val="9"/>
    <w:qFormat/>
    <w:rsid w:val="00B93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3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30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30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B9305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B9305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B9305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B9305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B9305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05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305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305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B9305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B9305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B9305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B9305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B9305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B9305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B9305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305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30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305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B9305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93050"/>
    <w:rPr>
      <w:i/>
      <w:iCs/>
      <w:color w:val="404040" w:themeColor="text1" w:themeTint="BF"/>
    </w:rPr>
  </w:style>
  <w:style w:type="paragraph" w:styleId="Paragraphedeliste">
    <w:name w:val="List Paragraph"/>
    <w:basedOn w:val="Normal"/>
    <w:uiPriority w:val="34"/>
    <w:qFormat/>
    <w:rsid w:val="00B93050"/>
    <w:pPr>
      <w:ind w:left="720"/>
      <w:contextualSpacing/>
    </w:pPr>
  </w:style>
  <w:style w:type="character" w:styleId="Accentuationintense">
    <w:name w:val="Intense Emphasis"/>
    <w:basedOn w:val="Policepardfaut"/>
    <w:uiPriority w:val="21"/>
    <w:qFormat/>
    <w:rsid w:val="00B93050"/>
    <w:rPr>
      <w:i/>
      <w:iCs/>
      <w:color w:val="0F4761" w:themeColor="accent1" w:themeShade="BF"/>
    </w:rPr>
  </w:style>
  <w:style w:type="paragraph" w:styleId="Citationintense">
    <w:name w:val="Intense Quote"/>
    <w:basedOn w:val="Normal"/>
    <w:next w:val="Normal"/>
    <w:link w:val="CitationintenseCar"/>
    <w:uiPriority w:val="30"/>
    <w:qFormat/>
    <w:rsid w:val="00B93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3050"/>
    <w:rPr>
      <w:i/>
      <w:iCs/>
      <w:color w:val="0F4761" w:themeColor="accent1" w:themeShade="BF"/>
    </w:rPr>
  </w:style>
  <w:style w:type="character" w:styleId="Rfrenceintense">
    <w:name w:val="Intense Reference"/>
    <w:basedOn w:val="Policepardfaut"/>
    <w:uiPriority w:val="32"/>
    <w:qFormat/>
    <w:rsid w:val="00B93050"/>
    <w:rPr>
      <w:b/>
      <w:bCs/>
      <w:smallCaps/>
      <w:color w:val="0F4761" w:themeColor="accent1" w:themeShade="BF"/>
      <w:spacing w:val="5"/>
    </w:rPr>
  </w:style>
  <w:style w:type="paragraph" w:styleId="Notedebasdepage">
    <w:name w:val="footnote text"/>
    <w:basedOn w:val="Normal"/>
    <w:link w:val="NotedebasdepageCar"/>
    <w:uiPriority w:val="99"/>
    <w:unhideWhenUsed/>
    <w:rsid w:val="005D297D"/>
    <w:rPr>
      <w:sz w:val="20"/>
      <w:szCs w:val="20"/>
    </w:rPr>
  </w:style>
  <w:style w:type="character" w:customStyle="1" w:styleId="NotedebasdepageCar">
    <w:name w:val="Note de bas de page Car"/>
    <w:basedOn w:val="Policepardfaut"/>
    <w:link w:val="Notedebasdepage"/>
    <w:uiPriority w:val="99"/>
    <w:rsid w:val="005D297D"/>
    <w:rPr>
      <w:sz w:val="20"/>
      <w:szCs w:val="20"/>
    </w:rPr>
  </w:style>
  <w:style w:type="character" w:styleId="Appelnotedebasdep">
    <w:name w:val="footnote reference"/>
    <w:basedOn w:val="Policepardfaut"/>
    <w:uiPriority w:val="99"/>
    <w:semiHidden/>
    <w:unhideWhenUsed/>
    <w:rsid w:val="005D29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199</Words>
  <Characters>1097</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12</cp:revision>
  <dcterms:created xsi:type="dcterms:W3CDTF">2025-05-01T21:59:00Z</dcterms:created>
  <dcterms:modified xsi:type="dcterms:W3CDTF">2025-05-05T21:58:00Z</dcterms:modified>
</cp:coreProperties>
</file>