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EF377" w14:textId="77777777" w:rsidR="005A6D62" w:rsidRPr="006110F6" w:rsidRDefault="005A6D62" w:rsidP="005A6D62">
      <w:pPr>
        <w:rPr>
          <w:rFonts w:ascii="Brill" w:eastAsia="Aptos" w:hAnsi="Brill"/>
          <w:color w:val="FF0000"/>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xvii</w:t>
      </w:r>
      <w:r w:rsidRPr="006110F6">
        <w:rPr>
          <w:rFonts w:ascii="Brill" w:eastAsia="Aptos" w:hAnsi="Brill"/>
          <w:color w:val="FF0000"/>
          <w:sz w:val="28"/>
          <w:szCs w:val="28"/>
          <w:lang w:val="fr-FR"/>
        </w:rPr>
        <w:t>. Quare in caelum deporta</w:t>
      </w:r>
      <w:r>
        <w:rPr>
          <w:rFonts w:ascii="Brill" w:eastAsia="Aptos" w:hAnsi="Brill"/>
          <w:color w:val="FF0000"/>
          <w:sz w:val="28"/>
          <w:szCs w:val="28"/>
          <w:lang w:val="fr-FR"/>
        </w:rPr>
        <w:t>v</w:t>
      </w:r>
      <w:r w:rsidRPr="006110F6">
        <w:rPr>
          <w:rFonts w:ascii="Brill" w:eastAsia="Aptos" w:hAnsi="Brill"/>
          <w:color w:val="FF0000"/>
          <w:sz w:val="28"/>
          <w:szCs w:val="28"/>
          <w:lang w:val="fr-FR"/>
        </w:rPr>
        <w:t>it Christus corpus carneum?</w:t>
      </w:r>
    </w:p>
    <w:p w14:paraId="736EE3EF" w14:textId="77777777" w:rsidR="005A6D62" w:rsidRPr="007E676B" w:rsidRDefault="005A6D62" w:rsidP="005A6D62">
      <w:pPr>
        <w:rPr>
          <w:rFonts w:ascii="Brill" w:hAnsi="Brill"/>
          <w:lang w:val="fr-FR"/>
        </w:rPr>
      </w:pPr>
    </w:p>
    <w:p w14:paraId="002B4183" w14:textId="77777777" w:rsidR="005A6D62" w:rsidRPr="007E676B" w:rsidRDefault="005A6D62" w:rsidP="005A6D62">
      <w:pPr>
        <w:rPr>
          <w:rFonts w:ascii="Brill" w:hAnsi="Brill"/>
        </w:rPr>
      </w:pPr>
      <w:r w:rsidRPr="007E676B">
        <w:rPr>
          <w:rFonts w:ascii="Brill" w:hAnsi="Brill"/>
        </w:rPr>
        <w:t>Quaesit discipulus:</w:t>
      </w:r>
    </w:p>
    <w:p w14:paraId="167CF178" w14:textId="77777777" w:rsidR="005A6D62" w:rsidRPr="007E676B" w:rsidRDefault="005A6D62" w:rsidP="005A6D62">
      <w:pPr>
        <w:rPr>
          <w:rFonts w:ascii="Brill" w:hAnsi="Brill"/>
        </w:rPr>
      </w:pPr>
    </w:p>
    <w:p w14:paraId="524848E2" w14:textId="77777777" w:rsidR="005A6D62" w:rsidRPr="007E676B" w:rsidRDefault="005A6D62" w:rsidP="005A6D62">
      <w:pPr>
        <w:rPr>
          <w:rFonts w:ascii="Brill" w:hAnsi="Brill"/>
        </w:rPr>
      </w:pPr>
      <w:r w:rsidRPr="007E676B">
        <w:rPr>
          <w:rFonts w:ascii="Brill" w:hAnsi="Brill"/>
        </w:rPr>
        <w:t>—Cur Christus Dominus voluit ad caelos deferre terrenum corpus, quod in hoc mundo sibi capessiit?</w:t>
      </w:r>
    </w:p>
    <w:p w14:paraId="3A20E877" w14:textId="77777777" w:rsidR="005A6D62" w:rsidRPr="007E676B" w:rsidRDefault="005A6D62" w:rsidP="005A6D62">
      <w:pPr>
        <w:rPr>
          <w:rFonts w:ascii="Brill" w:hAnsi="Brill"/>
        </w:rPr>
      </w:pPr>
    </w:p>
    <w:p w14:paraId="1B82EB88" w14:textId="77777777" w:rsidR="005A6D62" w:rsidRPr="007E676B" w:rsidRDefault="005A6D62" w:rsidP="005A6D62">
      <w:pPr>
        <w:rPr>
          <w:rFonts w:ascii="Brill" w:hAnsi="Brill"/>
        </w:rPr>
      </w:pPr>
      <w:r w:rsidRPr="007E676B">
        <w:rPr>
          <w:rFonts w:ascii="Brill" w:hAnsi="Brill"/>
        </w:rPr>
        <w:t>Respondit magister:</w:t>
      </w:r>
    </w:p>
    <w:p w14:paraId="08929321" w14:textId="77777777" w:rsidR="005A6D62" w:rsidRPr="007E676B" w:rsidRDefault="005A6D62" w:rsidP="005A6D62">
      <w:pPr>
        <w:rPr>
          <w:rFonts w:ascii="Brill" w:hAnsi="Brill"/>
        </w:rPr>
      </w:pPr>
    </w:p>
    <w:p w14:paraId="7A2320D7" w14:textId="77777777" w:rsidR="005A6D62" w:rsidRPr="007E676B" w:rsidRDefault="005A6D62" w:rsidP="005A6D62">
      <w:pPr>
        <w:rPr>
          <w:rFonts w:ascii="Brill" w:hAnsi="Brill"/>
        </w:rPr>
      </w:pPr>
      <w:r w:rsidRPr="007E676B">
        <w:rPr>
          <w:rFonts w:ascii="Brill" w:hAnsi="Brill"/>
        </w:rPr>
        <w:t>—Duabus ex causis. Primum, quia nec congruum, nec rationabile, nec ius duxit sanctissimam eius carnem apud nos manere, praeterquam eo temporis spatio quod ipse opportunum duxit. Certissimum est, in Christianorum religione, quo die obiit sanctissima Maria, eius genitrix, avolasse animam</w:t>
      </w:r>
      <w:r w:rsidRPr="007E676B">
        <w:rPr>
          <w:rStyle w:val="Appelnotedebasdep"/>
          <w:rFonts w:ascii="Brill" w:hAnsi="Brill"/>
        </w:rPr>
        <w:footnoteReference w:id="1"/>
      </w:r>
      <w:r w:rsidRPr="007E676B">
        <w:rPr>
          <w:rFonts w:ascii="Brill" w:hAnsi="Brill"/>
        </w:rPr>
        <w:t xml:space="preserve"> eius sanctissimam ex corpore. Hac fatali lege neminem eximere voluit: nec se ipsum, nec Mariam —oportebat omnes mori—.</w:t>
      </w:r>
    </w:p>
    <w:p w14:paraId="30AFDFBA" w14:textId="77777777" w:rsidR="005A6D62" w:rsidRPr="007E676B" w:rsidRDefault="005A6D62" w:rsidP="005A6D62">
      <w:pPr>
        <w:rPr>
          <w:rFonts w:ascii="Brill" w:hAnsi="Brill"/>
        </w:rPr>
      </w:pPr>
    </w:p>
    <w:p w14:paraId="6626B391" w14:textId="77777777" w:rsidR="005A6D62" w:rsidRPr="007E676B" w:rsidRDefault="005A6D62" w:rsidP="005A6D62">
      <w:pPr>
        <w:rPr>
          <w:rFonts w:ascii="Brill" w:hAnsi="Brill"/>
        </w:rPr>
      </w:pPr>
      <w:r w:rsidRPr="007E676B">
        <w:rPr>
          <w:rFonts w:ascii="Brill" w:hAnsi="Brill"/>
        </w:rPr>
        <w:t>Et postquam spiritus eius corporeis vinculis se absolvit, atque humata ab apostolis fuit, rursus animam regressam in corpus, atque simul corpore et anima filii regna appetisse. Quam ipse Filius solemni ritu, caeli terraeque principatu</w:t>
      </w:r>
      <w:r w:rsidRPr="007E676B">
        <w:rPr>
          <w:rStyle w:val="Appelnotedebasdep"/>
          <w:rFonts w:ascii="Brill" w:hAnsi="Brill"/>
        </w:rPr>
        <w:footnoteReference w:id="2"/>
      </w:r>
      <w:r w:rsidRPr="007E676B">
        <w:rPr>
          <w:rFonts w:ascii="Brill" w:hAnsi="Brill"/>
        </w:rPr>
        <w:t xml:space="preserve"> et diademate provexit. Haec Christi Domini studia in maternum corpus carneum et mortale, ut illud tot honoribus cumularet et super angelorum choros subveheret, quam gloriam et honorem triplici ratione fas duxit indulgendam: prima, ut honoraret et servaret corpus quod mensibus novem clausus coluit; secunda, ne in peccatorum hominum arbitrium veniret; tertia, ut eius sanctimoniam eximiam et merita remuneraret.</w:t>
      </w:r>
    </w:p>
    <w:p w14:paraId="75C3A913" w14:textId="77777777" w:rsidR="005A6D62" w:rsidRPr="007E676B" w:rsidRDefault="005A6D62" w:rsidP="005A6D62">
      <w:pPr>
        <w:rPr>
          <w:rFonts w:ascii="Brill" w:hAnsi="Brill"/>
        </w:rPr>
      </w:pPr>
    </w:p>
    <w:p w14:paraId="6E3A3137" w14:textId="77777777" w:rsidR="005A6D62" w:rsidRPr="007E676B" w:rsidRDefault="005A6D62" w:rsidP="005A6D62">
      <w:pPr>
        <w:rPr>
          <w:rFonts w:ascii="Brill" w:hAnsi="Brill"/>
        </w:rPr>
      </w:pPr>
      <w:r w:rsidRPr="007E676B">
        <w:rPr>
          <w:rFonts w:ascii="Brill" w:hAnsi="Brill"/>
        </w:rPr>
        <w:t>Hoc itaque fieri studuit in corpore sanctissimae Dei</w:t>
      </w:r>
      <w:r w:rsidRPr="007E676B">
        <w:rPr>
          <w:rStyle w:val="Appelnotedebasdep"/>
          <w:rFonts w:ascii="Brill" w:hAnsi="Brill"/>
        </w:rPr>
        <w:footnoteReference w:id="3"/>
      </w:r>
      <w:r w:rsidRPr="007E676B">
        <w:rPr>
          <w:rFonts w:ascii="Brill" w:hAnsi="Brill"/>
        </w:rPr>
        <w:t xml:space="preserve"> Genitricis. Perpende modo quam potiori iure in suo proprio corpore haec servanda. Ideo illud eo deportare voluit, unde descenderat, assumpturus carnem sub forma nostra. Noris optime: si corpus eius depretiaretur et exprobraretur tractatione manuum nostrarum, veluti corpus hominis vulgaris, de multis piaculum id esse et opprobrium infandum.</w:t>
      </w:r>
    </w:p>
    <w:p w14:paraId="497EF9CD" w14:textId="77777777" w:rsidR="005A6D62" w:rsidRPr="007E676B" w:rsidRDefault="005A6D62" w:rsidP="005A6D62">
      <w:pPr>
        <w:rPr>
          <w:rFonts w:ascii="Brill" w:hAnsi="Brill"/>
        </w:rPr>
      </w:pPr>
    </w:p>
    <w:p w14:paraId="2741F9D4" w14:textId="77777777" w:rsidR="005A6D62" w:rsidRPr="007E676B" w:rsidRDefault="005A6D62" w:rsidP="005A6D62">
      <w:pPr>
        <w:rPr>
          <w:rFonts w:ascii="Brill" w:hAnsi="Brill"/>
        </w:rPr>
      </w:pPr>
      <w:r w:rsidRPr="007E676B">
        <w:rPr>
          <w:rFonts w:ascii="Brill" w:hAnsi="Brill"/>
        </w:rPr>
        <w:t xml:space="preserve">Attamen fuit caritas et indulgentia eius, ut sui memoriam relinquere voluisset in pane, qui consecratur verbis quae in altari proferuntur in sacrificio. De hoc pane discipulis suis in coena dixit: </w:t>
      </w:r>
      <w:r w:rsidRPr="007E676B">
        <w:rPr>
          <w:rFonts w:ascii="Brill" w:hAnsi="Brill"/>
          <w:i/>
          <w:iCs/>
        </w:rPr>
        <w:t>Hoc est corpus meum, quod pro vobis trado, novi Testamenti, ut mei commemorationem habeatis</w:t>
      </w:r>
      <w:r w:rsidRPr="007E676B">
        <w:rPr>
          <w:rFonts w:ascii="Brill" w:hAnsi="Brill"/>
        </w:rPr>
        <w:t>.</w:t>
      </w:r>
      <w:r>
        <w:rPr>
          <w:rStyle w:val="Appelnotedebasdep"/>
          <w:rFonts w:ascii="Brill" w:hAnsi="Brill"/>
        </w:rPr>
        <w:footnoteReference w:id="4"/>
      </w:r>
      <w:r w:rsidRPr="007E676B">
        <w:rPr>
          <w:rFonts w:ascii="Brill" w:hAnsi="Brill"/>
        </w:rPr>
        <w:t xml:space="preserve"> Alibi inquit: </w:t>
      </w:r>
      <w:r w:rsidRPr="007E676B">
        <w:rPr>
          <w:rFonts w:ascii="Brill" w:hAnsi="Brill"/>
          <w:i/>
          <w:iCs/>
        </w:rPr>
        <w:t>Ego sum panis et vinum verum, qui de caelo descendi; et qui manducaverit ex hoc pane et biberit hoc vino, in me vivet in aeternum, et ego in eo</w:t>
      </w:r>
      <w:r w:rsidRPr="007E676B">
        <w:rPr>
          <w:rFonts w:ascii="Brill" w:hAnsi="Brill"/>
        </w:rPr>
        <w:t>.</w:t>
      </w:r>
      <w:r>
        <w:rPr>
          <w:rStyle w:val="Appelnotedebasdep"/>
          <w:rFonts w:ascii="Brill" w:hAnsi="Brill"/>
        </w:rPr>
        <w:footnoteReference w:id="5"/>
      </w:r>
    </w:p>
    <w:p w14:paraId="2919F104" w14:textId="77777777" w:rsidR="005A6D62" w:rsidRPr="007E676B" w:rsidRDefault="005A6D62" w:rsidP="005A6D62">
      <w:pPr>
        <w:rPr>
          <w:rFonts w:ascii="Brill" w:hAnsi="Brill"/>
        </w:rPr>
      </w:pPr>
    </w:p>
    <w:p w14:paraId="633FE65D" w14:textId="77777777" w:rsidR="005A6D62" w:rsidRPr="007E676B" w:rsidRDefault="005A6D62" w:rsidP="005A6D62">
      <w:pPr>
        <w:rPr>
          <w:rFonts w:ascii="Brill" w:hAnsi="Brill"/>
        </w:rPr>
      </w:pPr>
      <w:r w:rsidRPr="007E676B">
        <w:rPr>
          <w:rFonts w:ascii="Brill" w:hAnsi="Brill"/>
        </w:rPr>
        <w:t xml:space="preserve">Adeo iniqui nos, Christiani, sumus, qui hanc fidem credere tenemur, cum qui eam crediderint incolumes futuri sint, ut e vestigio obliviscamur. Conspicamur illum quotidie oculis nostris, nec tamen in pretio habemus nec honore, ut fas est. Quod accidit pessimo hominis genio ex </w:t>
      </w:r>
      <w:r w:rsidRPr="007E676B">
        <w:rPr>
          <w:rFonts w:ascii="Brill" w:hAnsi="Brill"/>
        </w:rPr>
        <w:lastRenderedPageBreak/>
        <w:t>quotidiano et familiari usu: nam, cum primum videt, tanquam miraculum et paradoxum stupet; postquam assuefecit, quotidie, ut rem quotidianam, parvi</w:t>
      </w:r>
      <w:r w:rsidRPr="007E676B">
        <w:rPr>
          <w:rStyle w:val="Appelnotedebasdep"/>
          <w:rFonts w:ascii="Brill" w:hAnsi="Brill"/>
        </w:rPr>
        <w:footnoteReference w:id="6"/>
      </w:r>
      <w:r w:rsidRPr="007E676B">
        <w:rPr>
          <w:rFonts w:ascii="Brill" w:hAnsi="Brill"/>
        </w:rPr>
        <w:t xml:space="preserve"> aestimat.</w:t>
      </w:r>
    </w:p>
    <w:p w14:paraId="25757BAB" w14:textId="77777777" w:rsidR="005A6D62" w:rsidRPr="007E676B" w:rsidRDefault="005A6D62" w:rsidP="005A6D62">
      <w:pPr>
        <w:rPr>
          <w:rFonts w:ascii="Brill" w:hAnsi="Brill"/>
        </w:rPr>
      </w:pPr>
    </w:p>
    <w:p w14:paraId="27160898" w14:textId="77777777" w:rsidR="005A6D62" w:rsidRPr="007E676B" w:rsidRDefault="005A6D62" w:rsidP="005A6D62">
      <w:pPr>
        <w:rPr>
          <w:rFonts w:ascii="Brill" w:hAnsi="Brill"/>
        </w:rPr>
      </w:pPr>
      <w:r w:rsidRPr="007E676B">
        <w:rPr>
          <w:rFonts w:ascii="Brill" w:hAnsi="Brill"/>
        </w:rPr>
        <w:t xml:space="preserve">Idcirco Salomon rex dixit: </w:t>
      </w:r>
      <w:r w:rsidRPr="00E82265">
        <w:rPr>
          <w:rFonts w:ascii="Brill" w:hAnsi="Brill"/>
        </w:rPr>
        <w:t>Quidquid sero nec crebro fit,</w:t>
      </w:r>
      <w:r w:rsidRPr="00E82265">
        <w:rPr>
          <w:rStyle w:val="Appelnotedebasdep"/>
          <w:rFonts w:ascii="Brill" w:hAnsi="Brill"/>
        </w:rPr>
        <w:footnoteReference w:id="7"/>
      </w:r>
      <w:r w:rsidRPr="00E82265">
        <w:rPr>
          <w:rFonts w:ascii="Brill" w:hAnsi="Brill"/>
        </w:rPr>
        <w:t xml:space="preserve"> haberi in pretio</w:t>
      </w:r>
      <w:r w:rsidRPr="007E676B">
        <w:rPr>
          <w:rFonts w:ascii="Brill" w:hAnsi="Brill"/>
        </w:rPr>
        <w:t>.</w:t>
      </w:r>
      <w:r>
        <w:rPr>
          <w:rStyle w:val="Appelnotedebasdep"/>
          <w:rFonts w:ascii="Brill" w:hAnsi="Brill"/>
        </w:rPr>
        <w:footnoteReference w:id="8"/>
      </w:r>
      <w:r w:rsidRPr="007E676B">
        <w:rPr>
          <w:rFonts w:ascii="Brill" w:hAnsi="Brill"/>
        </w:rPr>
        <w:t xml:space="preserve"> Ideo allevare voluit carnem suam, cum caelos remigravit. Bis voluit experiri Deus quod pretium et aestimationem</w:t>
      </w:r>
      <w:r w:rsidRPr="007E676B">
        <w:rPr>
          <w:rStyle w:val="Appelnotedebasdep"/>
          <w:rFonts w:ascii="Brill" w:hAnsi="Brill"/>
        </w:rPr>
        <w:footnoteReference w:id="9"/>
      </w:r>
      <w:r w:rsidRPr="007E676B">
        <w:rPr>
          <w:rFonts w:ascii="Brill" w:hAnsi="Brill"/>
        </w:rPr>
        <w:t xml:space="preserve"> taxaremus illi: primum, cum iniquissimo pretio aestimatus</w:t>
      </w:r>
      <w:r>
        <w:rPr>
          <w:rFonts w:ascii="Brill" w:hAnsi="Brill"/>
        </w:rPr>
        <w:t>,</w:t>
      </w:r>
      <w:r w:rsidRPr="007E676B">
        <w:rPr>
          <w:rFonts w:ascii="Brill" w:hAnsi="Brill"/>
        </w:rPr>
        <w:t xml:space="preserve"> triginta denariis argenteis</w:t>
      </w:r>
      <w:r>
        <w:rPr>
          <w:rFonts w:ascii="Brill" w:hAnsi="Brill"/>
        </w:rPr>
        <w:t>,</w:t>
      </w:r>
      <w:r w:rsidRPr="007E676B">
        <w:rPr>
          <w:rFonts w:ascii="Brill" w:hAnsi="Brill"/>
        </w:rPr>
        <w:t xml:space="preserve"> venit; secundo, cum reliquit benedictum panem consecratum in sui memoriam, ut probaret nos singulos quo pretio illum aestimaremus et taxaremus: in credendo propter illum, amando et sperando; et praeterea in timendo. Illa tria priora initium auspicantur ab hoc postremo, nempe timore. Timoris enim pensum est ut metuat homo quidnam id sit, quo salvus sospesque evadat, vel pereat.</w:t>
      </w:r>
    </w:p>
    <w:p w14:paraId="13546EE9" w14:textId="77777777" w:rsidR="005A6D62" w:rsidRPr="007E676B" w:rsidRDefault="005A6D62" w:rsidP="005A6D62">
      <w:pPr>
        <w:rPr>
          <w:rFonts w:ascii="Brill" w:hAnsi="Brill"/>
        </w:rPr>
      </w:pPr>
    </w:p>
    <w:p w14:paraId="292FA342" w14:textId="77777777" w:rsidR="005A6D62" w:rsidRPr="007E676B" w:rsidRDefault="005A6D62" w:rsidP="005A6D62">
      <w:pPr>
        <w:rPr>
          <w:rFonts w:ascii="Brill" w:hAnsi="Brill"/>
        </w:rPr>
      </w:pPr>
      <w:r w:rsidRPr="007E676B">
        <w:rPr>
          <w:rFonts w:ascii="Brill" w:hAnsi="Brill"/>
        </w:rPr>
        <w:t>Item et timendum etiam terrenos dominos, uti et</w:t>
      </w:r>
      <w:r w:rsidRPr="007E676B">
        <w:rPr>
          <w:rStyle w:val="Appelnotedebasdep"/>
          <w:rFonts w:ascii="Brill" w:hAnsi="Brill"/>
        </w:rPr>
        <w:footnoteReference w:id="10"/>
      </w:r>
      <w:r w:rsidRPr="007E676B">
        <w:rPr>
          <w:rFonts w:ascii="Brill" w:hAnsi="Brill"/>
        </w:rPr>
        <w:t xml:space="preserve"> Deum: cuiusque enim magni dynastae hae duae sunt partes, ut timeatur et ametur. Alterutrum sine altero nihil; utroque tamen simul nexo et fibulato, et Dominus erit ut par est, et subditi accurabunt officia. Tertiam illam, nempe fiduciam, neutiquam habere quis integram potest orbam timore et metu, quod per illud, in quo fiduciam figit, futura sit eius salus vel exitium.</w:t>
      </w:r>
    </w:p>
    <w:p w14:paraId="2396E0D0" w14:textId="77777777" w:rsidR="005A6D62" w:rsidRPr="007E676B" w:rsidRDefault="005A6D62" w:rsidP="005A6D62">
      <w:pPr>
        <w:rPr>
          <w:rFonts w:ascii="Brill" w:hAnsi="Brill"/>
        </w:rPr>
      </w:pPr>
    </w:p>
    <w:p w14:paraId="6E3B4A20" w14:textId="77777777" w:rsidR="005A6D62" w:rsidRPr="007E676B" w:rsidRDefault="005A6D62" w:rsidP="005A6D62">
      <w:pPr>
        <w:rPr>
          <w:rFonts w:ascii="Brill" w:hAnsi="Brill"/>
        </w:rPr>
      </w:pPr>
      <w:r w:rsidRPr="007E676B">
        <w:rPr>
          <w:rFonts w:ascii="Brill" w:hAnsi="Brill"/>
        </w:rPr>
        <w:t xml:space="preserve">Ratione itaque pretii huius, quo suum corpus taxavit, voluit consecrari, uti dixi. Reperimus dixisse Thomae Apostolo: </w:t>
      </w:r>
      <w:r w:rsidRPr="007E676B">
        <w:rPr>
          <w:rFonts w:ascii="Brill" w:hAnsi="Brill"/>
          <w:i/>
          <w:iCs/>
        </w:rPr>
        <w:t>Vidisti me et credidisti, beatus erit</w:t>
      </w:r>
      <w:r w:rsidRPr="007E676B">
        <w:rPr>
          <w:rFonts w:ascii="Brill" w:hAnsi="Brill"/>
        </w:rPr>
        <w:t xml:space="preserve">, </w:t>
      </w:r>
      <w:r w:rsidRPr="007E676B">
        <w:rPr>
          <w:rFonts w:ascii="Brill" w:hAnsi="Brill"/>
          <w:i/>
          <w:iCs/>
        </w:rPr>
        <w:t>et est, qui me non vidit nec videbit, et in me crediderit</w:t>
      </w:r>
      <w:r w:rsidRPr="007E676B">
        <w:rPr>
          <w:rFonts w:ascii="Brill" w:hAnsi="Brill"/>
        </w:rPr>
        <w:t>.</w:t>
      </w:r>
      <w:r>
        <w:rPr>
          <w:rStyle w:val="Appelnotedebasdep"/>
          <w:rFonts w:ascii="Brill" w:hAnsi="Brill"/>
        </w:rPr>
        <w:footnoteReference w:id="11"/>
      </w:r>
      <w:r w:rsidRPr="007E676B">
        <w:rPr>
          <w:rFonts w:ascii="Brill" w:hAnsi="Brill"/>
        </w:rPr>
        <w:t xml:space="preserve"> Modo observa, et velim ex hoc loco plus gratum esse hominem Deo qui corpus Domini, esse quod in ara vera consecratur, credit intrepide et absque haesitationis fermento, quam si ipsi adhuc in terra degenti adesset, sicut </w:t>
      </w:r>
      <w:r>
        <w:rPr>
          <w:rFonts w:ascii="Brill" w:hAnsi="Brill"/>
        </w:rPr>
        <w:t>a</w:t>
      </w:r>
      <w:r w:rsidRPr="007E676B">
        <w:rPr>
          <w:rFonts w:ascii="Brill" w:hAnsi="Brill"/>
        </w:rPr>
        <w:t>postoli.</w:t>
      </w:r>
    </w:p>
    <w:p w14:paraId="7397A129" w14:textId="77777777" w:rsidR="005A6D62" w:rsidRPr="007E676B" w:rsidRDefault="005A6D62" w:rsidP="005A6D62">
      <w:pPr>
        <w:rPr>
          <w:rFonts w:ascii="Brill" w:hAnsi="Brill"/>
        </w:rPr>
      </w:pPr>
    </w:p>
    <w:p w14:paraId="07CA5939" w14:textId="13FD1F8A" w:rsidR="00D17F4F" w:rsidRPr="005A6D62" w:rsidRDefault="005A6D62" w:rsidP="005A6D62">
      <w:pPr>
        <w:rPr>
          <w:rFonts w:ascii="Brill" w:hAnsi="Brill"/>
        </w:rPr>
      </w:pPr>
      <w:r w:rsidRPr="007E676B">
        <w:rPr>
          <w:rFonts w:ascii="Brill" w:hAnsi="Brill"/>
        </w:rPr>
        <w:t>Huius haud frivola ratio quadrat: primum, quoniam immensam eius potentiam credit homo, ut, quemadmodum potuit ex Virgine sanctissima nasci, ita etiam valuerit</w:t>
      </w:r>
      <w:r w:rsidRPr="007E676B">
        <w:rPr>
          <w:rStyle w:val="Appelnotedebasdep"/>
          <w:rFonts w:ascii="Brill" w:hAnsi="Brill"/>
        </w:rPr>
        <w:footnoteReference w:id="12"/>
      </w:r>
      <w:r w:rsidRPr="007E676B">
        <w:rPr>
          <w:rFonts w:ascii="Brill" w:hAnsi="Brill"/>
        </w:rPr>
        <w:t xml:space="preserve"> potentia convertendi panem in corpus suum verum. Postrema: hac credulitate prima intelligitur, nempe et ipsum valuisse cuncta exequi. Secunda, quia verior est amor accurare iussum, quod praecepit Christus Dominus, quam intelligere et credere quod hauritur oculis et manibus contrectatur. Proinde hoc tenere debemus: plus facere homines modo, qui in corpus Domini sincere credimus, quam fecerunt </w:t>
      </w:r>
      <w:r>
        <w:rPr>
          <w:rFonts w:ascii="Brill" w:hAnsi="Brill"/>
        </w:rPr>
        <w:t>a</w:t>
      </w:r>
      <w:r w:rsidRPr="007E676B">
        <w:rPr>
          <w:rFonts w:ascii="Brill" w:hAnsi="Brill"/>
        </w:rPr>
        <w:t>postoli, servantes illum et quotidie pone illum stipantes, spectando</w:t>
      </w:r>
      <w:r w:rsidRPr="007E676B">
        <w:rPr>
          <w:rStyle w:val="Appelnotedebasdep"/>
          <w:rFonts w:ascii="Brill" w:hAnsi="Brill"/>
        </w:rPr>
        <w:footnoteReference w:id="13"/>
      </w:r>
      <w:r w:rsidRPr="007E676B">
        <w:rPr>
          <w:rFonts w:ascii="Brill" w:hAnsi="Brill"/>
        </w:rPr>
        <w:t xml:space="preserve"> illum assidue.</w:t>
      </w:r>
    </w:p>
    <w:sectPr w:rsidR="00D17F4F" w:rsidRPr="005A6D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75887" w14:textId="77777777" w:rsidR="00216ECF" w:rsidRDefault="00216ECF" w:rsidP="002D1597">
      <w:r>
        <w:separator/>
      </w:r>
    </w:p>
  </w:endnote>
  <w:endnote w:type="continuationSeparator" w:id="0">
    <w:p w14:paraId="6F9C4F22" w14:textId="77777777" w:rsidR="00216ECF" w:rsidRDefault="00216ECF" w:rsidP="002D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14F6E" w14:textId="77777777" w:rsidR="00216ECF" w:rsidRDefault="00216ECF" w:rsidP="002D1597">
      <w:r>
        <w:separator/>
      </w:r>
    </w:p>
  </w:footnote>
  <w:footnote w:type="continuationSeparator" w:id="0">
    <w:p w14:paraId="0019EC75" w14:textId="77777777" w:rsidR="00216ECF" w:rsidRDefault="00216ECF" w:rsidP="002D1597">
      <w:r>
        <w:continuationSeparator/>
      </w:r>
    </w:p>
  </w:footnote>
  <w:footnote w:id="1">
    <w:p w14:paraId="1BF1A4E2" w14:textId="77777777" w:rsidR="005A6D62" w:rsidRPr="008F7B4A" w:rsidRDefault="005A6D62" w:rsidP="005A6D62">
      <w:pPr>
        <w:pStyle w:val="Notedebasdepage"/>
        <w:rPr>
          <w:rFonts w:ascii="Brill" w:hAnsi="Brill"/>
        </w:rPr>
      </w:pPr>
      <w:r w:rsidRPr="008F7B4A">
        <w:rPr>
          <w:rStyle w:val="Appelnotedebasdep"/>
          <w:rFonts w:ascii="Brill" w:hAnsi="Brill"/>
        </w:rPr>
        <w:footnoteRef/>
      </w:r>
      <w:r w:rsidRPr="008F7B4A">
        <w:rPr>
          <w:rFonts w:ascii="Brill" w:hAnsi="Brill"/>
        </w:rPr>
        <w:t xml:space="preserve"> animam] eius </w:t>
      </w:r>
      <w:r w:rsidRPr="008F7B4A">
        <w:rPr>
          <w:rFonts w:ascii="Brill" w:hAnsi="Brill"/>
          <w:i/>
          <w:iCs/>
        </w:rPr>
        <w:t>cancell. N</w:t>
      </w:r>
    </w:p>
  </w:footnote>
  <w:footnote w:id="2">
    <w:p w14:paraId="204F2E59" w14:textId="77777777" w:rsidR="005A6D62" w:rsidRPr="004355B1" w:rsidRDefault="005A6D62" w:rsidP="005A6D62">
      <w:pPr>
        <w:pStyle w:val="Notedebasdepage"/>
        <w:rPr>
          <w:rFonts w:ascii="Brill" w:hAnsi="Brill"/>
        </w:rPr>
      </w:pPr>
      <w:r w:rsidRPr="008F7B4A">
        <w:rPr>
          <w:rStyle w:val="Appelnotedebasdep"/>
          <w:rFonts w:ascii="Brill" w:hAnsi="Brill"/>
        </w:rPr>
        <w:footnoteRef/>
      </w:r>
      <w:r w:rsidRPr="008F7B4A">
        <w:rPr>
          <w:rFonts w:ascii="Brill" w:hAnsi="Brill"/>
        </w:rPr>
        <w:t xml:space="preserve"> principatu et] </w:t>
      </w:r>
      <w:r w:rsidRPr="008F7B4A">
        <w:rPr>
          <w:rFonts w:ascii="Brill" w:hAnsi="Brill"/>
          <w:i/>
          <w:iCs/>
        </w:rPr>
        <w:t>sup. l. add. N</w:t>
      </w:r>
    </w:p>
  </w:footnote>
  <w:footnote w:id="3">
    <w:p w14:paraId="18B1C14F" w14:textId="77777777" w:rsidR="005A6D62" w:rsidRPr="004355B1" w:rsidRDefault="005A6D62" w:rsidP="005A6D6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4355B1">
        <w:rPr>
          <w:rFonts w:ascii="Brill" w:hAnsi="Brill"/>
        </w:rPr>
        <w:t xml:space="preserve">Dei] </w:t>
      </w:r>
      <w:r w:rsidRPr="008F7B4A">
        <w:rPr>
          <w:rFonts w:ascii="Brill" w:hAnsi="Brill"/>
          <w:i/>
          <w:iCs/>
        </w:rPr>
        <w:t>sup. l. add. N</w:t>
      </w:r>
    </w:p>
  </w:footnote>
  <w:footnote w:id="4">
    <w:p w14:paraId="7651B748" w14:textId="77777777" w:rsidR="005A6D62" w:rsidRPr="004355B1" w:rsidRDefault="005A6D62" w:rsidP="005A6D62">
      <w:pPr>
        <w:pStyle w:val="Notedebasdepage"/>
        <w:rPr>
          <w:rFonts w:ascii="Brill" w:hAnsi="Brill"/>
        </w:rPr>
      </w:pPr>
      <w:r w:rsidRPr="008F7B4A">
        <w:rPr>
          <w:rStyle w:val="Appelnotedebasdep"/>
          <w:rFonts w:ascii="Brill" w:hAnsi="Brill"/>
        </w:rPr>
        <w:footnoteRef/>
      </w:r>
      <w:r w:rsidRPr="008F7B4A">
        <w:rPr>
          <w:rFonts w:ascii="Brill" w:hAnsi="Brill"/>
        </w:rPr>
        <w:t xml:space="preserve"> </w:t>
      </w:r>
      <w:r w:rsidRPr="004355B1">
        <w:rPr>
          <w:rFonts w:ascii="Brill" w:hAnsi="Brill"/>
        </w:rPr>
        <w:t>Luc. 22, 19</w:t>
      </w:r>
    </w:p>
  </w:footnote>
  <w:footnote w:id="5">
    <w:p w14:paraId="37F13F37" w14:textId="77777777" w:rsidR="005A6D62" w:rsidRPr="008F7B4A" w:rsidRDefault="005A6D62" w:rsidP="005A6D62">
      <w:pPr>
        <w:pStyle w:val="Notedebasdepage"/>
        <w:rPr>
          <w:rFonts w:ascii="Brill" w:hAnsi="Brill"/>
        </w:rPr>
      </w:pPr>
      <w:r w:rsidRPr="008F7B4A">
        <w:rPr>
          <w:rStyle w:val="Appelnotedebasdep"/>
          <w:rFonts w:ascii="Brill" w:hAnsi="Brill"/>
        </w:rPr>
        <w:footnoteRef/>
      </w:r>
      <w:r w:rsidRPr="008F7B4A">
        <w:rPr>
          <w:rFonts w:ascii="Brill" w:hAnsi="Brill"/>
        </w:rPr>
        <w:t xml:space="preserve"> Ioh. 6, 51-55</w:t>
      </w:r>
    </w:p>
  </w:footnote>
  <w:footnote w:id="6">
    <w:p w14:paraId="3D12F6C6" w14:textId="77777777" w:rsidR="005A6D62" w:rsidRPr="008F7B4A" w:rsidRDefault="005A6D62" w:rsidP="005A6D6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parvi] </w:t>
      </w:r>
      <w:r w:rsidRPr="008F7B4A">
        <w:rPr>
          <w:rFonts w:ascii="Brill" w:hAnsi="Brill"/>
          <w:i/>
          <w:iCs/>
        </w:rPr>
        <w:t>sup. l. add. N</w:t>
      </w:r>
    </w:p>
  </w:footnote>
  <w:footnote w:id="7">
    <w:p w14:paraId="1B91E2F2" w14:textId="77777777" w:rsidR="005A6D62" w:rsidRPr="008F7B4A" w:rsidRDefault="005A6D62" w:rsidP="005A6D62">
      <w:pPr>
        <w:pStyle w:val="Notedebasdepage"/>
        <w:rPr>
          <w:rFonts w:ascii="Brill" w:hAnsi="Brill"/>
          <w:i/>
          <w:iCs/>
          <w:lang w:val="fr-FR"/>
        </w:rPr>
      </w:pPr>
      <w:r w:rsidRPr="008F7B4A">
        <w:rPr>
          <w:rStyle w:val="Appelnotedebasdep"/>
          <w:rFonts w:ascii="Brill" w:hAnsi="Brill"/>
        </w:rPr>
        <w:footnoteRef/>
      </w:r>
      <w:r w:rsidRPr="008F7B4A">
        <w:rPr>
          <w:rFonts w:ascii="Brill" w:hAnsi="Brill"/>
        </w:rPr>
        <w:t xml:space="preserve"> fit] quotidie</w:t>
      </w:r>
      <w:r w:rsidRPr="008F7B4A">
        <w:rPr>
          <w:rFonts w:ascii="Brill" w:hAnsi="Brill"/>
          <w:i/>
          <w:iCs/>
        </w:rPr>
        <w:t xml:space="preserve"> cancell. N</w:t>
      </w:r>
    </w:p>
  </w:footnote>
  <w:footnote w:id="8">
    <w:p w14:paraId="46BC2FA9" w14:textId="77777777" w:rsidR="005A6D62" w:rsidRPr="008F7B4A" w:rsidRDefault="005A6D62" w:rsidP="005A6D62">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Quidquid – pretio] Orig. </w:t>
      </w:r>
      <w:r w:rsidRPr="008F7B4A">
        <w:rPr>
          <w:rFonts w:ascii="Brill" w:hAnsi="Brill"/>
          <w:lang w:val="es-ES_tradnl"/>
        </w:rPr>
        <w:t xml:space="preserve">Omne rarum preciosum, cfr </w:t>
      </w:r>
      <w:r w:rsidRPr="008F7B4A">
        <w:rPr>
          <w:rFonts w:ascii="Brill" w:hAnsi="Brill"/>
          <w:smallCaps/>
          <w:lang w:val="es-ES_tradnl"/>
        </w:rPr>
        <w:t>Hier</w:t>
      </w:r>
      <w:r w:rsidRPr="008F7B4A">
        <w:rPr>
          <w:rFonts w:ascii="Brill" w:hAnsi="Brill"/>
          <w:lang w:val="es-ES_tradnl"/>
        </w:rPr>
        <w:t xml:space="preserve">., </w:t>
      </w:r>
      <w:r w:rsidRPr="008F7B4A">
        <w:rPr>
          <w:rFonts w:ascii="Brill" w:hAnsi="Brill"/>
          <w:i/>
          <w:iCs/>
          <w:lang w:val="es-ES_tradnl"/>
        </w:rPr>
        <w:t>Ad Evangelum</w:t>
      </w:r>
      <w:r w:rsidRPr="008F7B4A">
        <w:rPr>
          <w:rFonts w:ascii="Brill" w:hAnsi="Brill"/>
          <w:lang w:val="es-ES_tradnl"/>
        </w:rPr>
        <w:t>, 2 (</w:t>
      </w:r>
      <w:r w:rsidRPr="008F7B4A">
        <w:rPr>
          <w:rFonts w:ascii="Brill" w:hAnsi="Brill"/>
          <w:i/>
          <w:iCs/>
          <w:lang w:val="es-ES_tradnl"/>
        </w:rPr>
        <w:t>PL</w:t>
      </w:r>
      <w:r w:rsidRPr="008F7B4A">
        <w:rPr>
          <w:rFonts w:ascii="Brill" w:hAnsi="Brill"/>
          <w:lang w:val="es-ES_tradnl"/>
        </w:rPr>
        <w:t>, 22, col. 1192)</w:t>
      </w:r>
    </w:p>
  </w:footnote>
  <w:footnote w:id="9">
    <w:p w14:paraId="3C7D46C1" w14:textId="77777777" w:rsidR="005A6D62" w:rsidRPr="008F7B4A" w:rsidRDefault="005A6D62" w:rsidP="005A6D6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4355B1">
        <w:rPr>
          <w:rFonts w:ascii="Brill" w:hAnsi="Brill"/>
          <w:lang w:val="fr-FR"/>
        </w:rPr>
        <w:t xml:space="preserve">aestimationem] estimationem </w:t>
      </w:r>
      <w:r w:rsidRPr="004355B1">
        <w:rPr>
          <w:rFonts w:ascii="Brill" w:hAnsi="Brill"/>
          <w:i/>
          <w:iCs/>
          <w:lang w:val="fr-FR"/>
        </w:rPr>
        <w:t xml:space="preserve">in </w:t>
      </w:r>
      <w:r w:rsidRPr="004355B1">
        <w:rPr>
          <w:rFonts w:ascii="Brill" w:hAnsi="Brill"/>
          <w:lang w:val="fr-FR"/>
        </w:rPr>
        <w:t xml:space="preserve">aestimationem </w:t>
      </w:r>
      <w:r w:rsidRPr="004355B1">
        <w:rPr>
          <w:rFonts w:ascii="Brill" w:hAnsi="Brill"/>
          <w:i/>
          <w:iCs/>
          <w:lang w:val="fr-FR"/>
        </w:rPr>
        <w:t xml:space="preserve">corr. </w:t>
      </w:r>
      <w:r w:rsidRPr="008F7B4A">
        <w:rPr>
          <w:rFonts w:ascii="Brill" w:hAnsi="Brill"/>
          <w:i/>
          <w:iCs/>
          <w:lang w:val="fr-FR"/>
        </w:rPr>
        <w:t>N</w:t>
      </w:r>
    </w:p>
  </w:footnote>
  <w:footnote w:id="10">
    <w:p w14:paraId="2D102438" w14:textId="77777777" w:rsidR="005A6D62" w:rsidRPr="008F7B4A" w:rsidRDefault="005A6D62" w:rsidP="005A6D6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et] </w:t>
      </w:r>
      <w:r w:rsidRPr="008F7B4A">
        <w:rPr>
          <w:rFonts w:ascii="Brill" w:hAnsi="Brill"/>
          <w:i/>
          <w:iCs/>
          <w:lang w:val="fr-FR"/>
        </w:rPr>
        <w:t>add. N</w:t>
      </w:r>
    </w:p>
  </w:footnote>
  <w:footnote w:id="11">
    <w:p w14:paraId="5F4A4478" w14:textId="77777777" w:rsidR="005A6D62" w:rsidRPr="008F7B4A" w:rsidRDefault="005A6D62" w:rsidP="005A6D62">
      <w:pPr>
        <w:pStyle w:val="Notedebasdepage"/>
        <w:rPr>
          <w:rFonts w:ascii="Brill" w:hAnsi="Brill"/>
        </w:rPr>
      </w:pPr>
      <w:r w:rsidRPr="008F7B4A">
        <w:rPr>
          <w:rStyle w:val="Appelnotedebasdep"/>
          <w:rFonts w:ascii="Brill" w:hAnsi="Brill"/>
        </w:rPr>
        <w:footnoteRef/>
      </w:r>
      <w:r w:rsidRPr="008F7B4A">
        <w:rPr>
          <w:rFonts w:ascii="Brill" w:hAnsi="Brill"/>
        </w:rPr>
        <w:t xml:space="preserve"> Ioh. 20, 29</w:t>
      </w:r>
    </w:p>
  </w:footnote>
  <w:footnote w:id="12">
    <w:p w14:paraId="3F319E6A" w14:textId="77777777" w:rsidR="005A6D62" w:rsidRPr="008F7B4A" w:rsidRDefault="005A6D62" w:rsidP="005A6D62">
      <w:pPr>
        <w:pStyle w:val="Notedebasdepage"/>
        <w:rPr>
          <w:rFonts w:ascii="Brill" w:hAnsi="Brill"/>
          <w:lang w:val="es-ES"/>
        </w:rPr>
      </w:pPr>
      <w:r w:rsidRPr="008F7B4A">
        <w:rPr>
          <w:rStyle w:val="Appelnotedebasdep"/>
          <w:rFonts w:ascii="Brill" w:hAnsi="Brill"/>
        </w:rPr>
        <w:footnoteRef/>
      </w:r>
      <w:r w:rsidRPr="008F7B4A">
        <w:rPr>
          <w:rFonts w:ascii="Brill" w:hAnsi="Brill"/>
        </w:rPr>
        <w:t xml:space="preserve"> valuerit] valuit </w:t>
      </w:r>
      <w:r w:rsidRPr="008F7B4A">
        <w:rPr>
          <w:rFonts w:ascii="Brill" w:hAnsi="Brill"/>
          <w:i/>
          <w:iCs/>
        </w:rPr>
        <w:t xml:space="preserve">in </w:t>
      </w:r>
      <w:r w:rsidRPr="008F7B4A">
        <w:rPr>
          <w:rFonts w:ascii="Brill" w:hAnsi="Brill"/>
        </w:rPr>
        <w:t xml:space="preserve">valuerit </w:t>
      </w:r>
      <w:r w:rsidRPr="008F7B4A">
        <w:rPr>
          <w:rFonts w:ascii="Brill" w:hAnsi="Brill"/>
          <w:i/>
          <w:iCs/>
          <w:lang w:val="fr-FR"/>
        </w:rPr>
        <w:t xml:space="preserve">corr. </w:t>
      </w:r>
      <w:r w:rsidRPr="008F7B4A">
        <w:rPr>
          <w:rFonts w:ascii="Brill" w:hAnsi="Brill"/>
          <w:i/>
          <w:iCs/>
          <w:lang w:val="es-ES"/>
        </w:rPr>
        <w:t>N</w:t>
      </w:r>
    </w:p>
  </w:footnote>
  <w:footnote w:id="13">
    <w:p w14:paraId="6D9714C8" w14:textId="77777777" w:rsidR="005A6D62" w:rsidRPr="008F7B4A" w:rsidRDefault="005A6D62" w:rsidP="005A6D62">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spectando] expectando</w:t>
      </w:r>
      <w:r w:rsidRPr="008F7B4A">
        <w:rPr>
          <w:rFonts w:ascii="Brill" w:hAnsi="Brill"/>
          <w:i/>
          <w:iCs/>
        </w:rPr>
        <w:t xml:space="preserve"> in</w:t>
      </w:r>
      <w:r w:rsidRPr="008F7B4A">
        <w:rPr>
          <w:rFonts w:ascii="Brill" w:hAnsi="Brill"/>
        </w:rPr>
        <w:t xml:space="preserve"> spectando </w:t>
      </w:r>
      <w:r w:rsidRPr="008F7B4A">
        <w:rPr>
          <w:rFonts w:ascii="Brill" w:hAnsi="Brill"/>
          <w:i/>
          <w:iCs/>
          <w:lang w:val="es-ES"/>
        </w:rPr>
        <w:t xml:space="preserve">corr. </w:t>
      </w:r>
      <w:r w:rsidRPr="008F7B4A">
        <w:rPr>
          <w:rFonts w:ascii="Brill" w:hAnsi="Brill"/>
          <w:i/>
          <w:iCs/>
          <w:lang w:val="fr-FR"/>
        </w:rPr>
        <w:t>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29"/>
    <w:rsid w:val="00045D29"/>
    <w:rsid w:val="000B00C7"/>
    <w:rsid w:val="000E3B8F"/>
    <w:rsid w:val="000F213D"/>
    <w:rsid w:val="00135F8A"/>
    <w:rsid w:val="001455DF"/>
    <w:rsid w:val="00154A8E"/>
    <w:rsid w:val="001A40F3"/>
    <w:rsid w:val="001B713A"/>
    <w:rsid w:val="00203DE9"/>
    <w:rsid w:val="00216ECF"/>
    <w:rsid w:val="00271561"/>
    <w:rsid w:val="002D1597"/>
    <w:rsid w:val="0031052D"/>
    <w:rsid w:val="003143DA"/>
    <w:rsid w:val="00480207"/>
    <w:rsid w:val="005320EF"/>
    <w:rsid w:val="00595085"/>
    <w:rsid w:val="005A6D62"/>
    <w:rsid w:val="00710A5C"/>
    <w:rsid w:val="0074017F"/>
    <w:rsid w:val="008B0766"/>
    <w:rsid w:val="009B6C56"/>
    <w:rsid w:val="009C3011"/>
    <w:rsid w:val="009F2BE1"/>
    <w:rsid w:val="00B065DE"/>
    <w:rsid w:val="00C03402"/>
    <w:rsid w:val="00C47536"/>
    <w:rsid w:val="00D167EA"/>
    <w:rsid w:val="00D17F4F"/>
    <w:rsid w:val="00DB6BE0"/>
    <w:rsid w:val="00E715E6"/>
    <w:rsid w:val="00EC5744"/>
    <w:rsid w:val="00F1432B"/>
    <w:rsid w:val="00F274CD"/>
    <w:rsid w:val="00FB4506"/>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887518A"/>
  <w15:chartTrackingRefBased/>
  <w15:docId w15:val="{DBB73D22-FCBF-EC47-8CFF-678358C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52D"/>
    <w:rPr>
      <w:rFonts w:asciiTheme="minorHAnsi" w:hAnsiTheme="minorHAnsi" w:cstheme="minorBidi"/>
      <w:kern w:val="0"/>
      <w14:ligatures w14:val="none"/>
    </w:rPr>
  </w:style>
  <w:style w:type="paragraph" w:styleId="Titre1">
    <w:name w:val="heading 1"/>
    <w:basedOn w:val="Normal"/>
    <w:next w:val="Normal"/>
    <w:link w:val="Titre1Car"/>
    <w:uiPriority w:val="9"/>
    <w:qFormat/>
    <w:rsid w:val="00045D2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semiHidden/>
    <w:unhideWhenUsed/>
    <w:qFormat/>
    <w:rsid w:val="00045D2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045D29"/>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045D29"/>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045D29"/>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045D29"/>
    <w:pPr>
      <w:keepNext/>
      <w:keepLines/>
      <w:spacing w:before="40"/>
      <w:outlineLvl w:val="5"/>
    </w:pPr>
    <w:rPr>
      <w:rFonts w:eastAsiaTheme="majorEastAsia"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045D29"/>
    <w:pPr>
      <w:keepNext/>
      <w:keepLines/>
      <w:spacing w:before="40"/>
      <w:outlineLvl w:val="6"/>
    </w:pPr>
    <w:rPr>
      <w:rFonts w:eastAsiaTheme="majorEastAsia"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045D29"/>
    <w:pPr>
      <w:keepNext/>
      <w:keepLines/>
      <w:outlineLvl w:val="7"/>
    </w:pPr>
    <w:rPr>
      <w:rFonts w:eastAsiaTheme="majorEastAsia"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045D29"/>
    <w:pPr>
      <w:keepNext/>
      <w:keepLines/>
      <w:outlineLvl w:val="8"/>
    </w:pPr>
    <w:rPr>
      <w:rFonts w:eastAsiaTheme="majorEastAsia"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5D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45D2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45D29"/>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045D29"/>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045D29"/>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45D29"/>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45D29"/>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45D29"/>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45D29"/>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045D2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045D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5D29"/>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045D29"/>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045D29"/>
    <w:pPr>
      <w:spacing w:before="160" w:after="160"/>
      <w:jc w:val="center"/>
    </w:pPr>
    <w:rPr>
      <w:rFonts w:ascii="Garamond" w:hAnsi="Garamond" w:cs="Times New Roman (Corps CS)"/>
      <w:i/>
      <w:iCs/>
      <w:color w:val="404040" w:themeColor="text1" w:themeTint="BF"/>
      <w:kern w:val="2"/>
      <w14:ligatures w14:val="standardContextual"/>
    </w:rPr>
  </w:style>
  <w:style w:type="character" w:customStyle="1" w:styleId="CitationCar">
    <w:name w:val="Citation Car"/>
    <w:basedOn w:val="Policepardfaut"/>
    <w:link w:val="Citation"/>
    <w:uiPriority w:val="29"/>
    <w:rsid w:val="00045D29"/>
    <w:rPr>
      <w:i/>
      <w:iCs/>
      <w:color w:val="404040" w:themeColor="text1" w:themeTint="BF"/>
    </w:rPr>
  </w:style>
  <w:style w:type="paragraph" w:styleId="Paragraphedeliste">
    <w:name w:val="List Paragraph"/>
    <w:basedOn w:val="Normal"/>
    <w:uiPriority w:val="34"/>
    <w:qFormat/>
    <w:rsid w:val="00045D29"/>
    <w:pPr>
      <w:ind w:left="720"/>
      <w:contextualSpacing/>
    </w:pPr>
    <w:rPr>
      <w:rFonts w:ascii="Garamond" w:hAnsi="Garamond" w:cs="Times New Roman (Corps CS)"/>
      <w:kern w:val="2"/>
      <w14:ligatures w14:val="standardContextual"/>
    </w:rPr>
  </w:style>
  <w:style w:type="character" w:styleId="Accentuationintense">
    <w:name w:val="Intense Emphasis"/>
    <w:basedOn w:val="Policepardfaut"/>
    <w:uiPriority w:val="21"/>
    <w:qFormat/>
    <w:rsid w:val="00045D29"/>
    <w:rPr>
      <w:i/>
      <w:iCs/>
      <w:color w:val="0F4761" w:themeColor="accent1" w:themeShade="BF"/>
    </w:rPr>
  </w:style>
  <w:style w:type="paragraph" w:styleId="Citationintense">
    <w:name w:val="Intense Quote"/>
    <w:basedOn w:val="Normal"/>
    <w:next w:val="Normal"/>
    <w:link w:val="CitationintenseCar"/>
    <w:uiPriority w:val="30"/>
    <w:qFormat/>
    <w:rsid w:val="00045D29"/>
    <w:pPr>
      <w:pBdr>
        <w:top w:val="single" w:sz="4" w:space="10" w:color="0F4761" w:themeColor="accent1" w:themeShade="BF"/>
        <w:bottom w:val="single" w:sz="4" w:space="10" w:color="0F4761" w:themeColor="accent1" w:themeShade="BF"/>
      </w:pBdr>
      <w:spacing w:before="360" w:after="360"/>
      <w:ind w:left="864" w:right="864"/>
      <w:jc w:val="center"/>
    </w:pPr>
    <w:rPr>
      <w:rFonts w:ascii="Garamond" w:hAnsi="Garamond" w:cs="Times New Roman (Corps CS)"/>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045D29"/>
    <w:rPr>
      <w:i/>
      <w:iCs/>
      <w:color w:val="0F4761" w:themeColor="accent1" w:themeShade="BF"/>
    </w:rPr>
  </w:style>
  <w:style w:type="character" w:styleId="Rfrenceintense">
    <w:name w:val="Intense Reference"/>
    <w:basedOn w:val="Policepardfaut"/>
    <w:uiPriority w:val="32"/>
    <w:qFormat/>
    <w:rsid w:val="00045D29"/>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2D1597"/>
    <w:rPr>
      <w:rFonts w:ascii="Garamond" w:hAnsi="Garamond" w:cs="Times New Roman (Corps CS)"/>
      <w:kern w:val="2"/>
      <w:sz w:val="20"/>
      <w:szCs w:val="20"/>
      <w14:ligatures w14:val="standardContextual"/>
    </w:rPr>
  </w:style>
  <w:style w:type="character" w:customStyle="1" w:styleId="NotedebasdepageCar">
    <w:name w:val="Note de bas de page Car"/>
    <w:basedOn w:val="Policepardfaut"/>
    <w:link w:val="Notedebasdepage"/>
    <w:uiPriority w:val="99"/>
    <w:semiHidden/>
    <w:rsid w:val="002D1597"/>
    <w:rPr>
      <w:sz w:val="20"/>
      <w:szCs w:val="20"/>
    </w:rPr>
  </w:style>
  <w:style w:type="character" w:styleId="Appelnotedebasdep">
    <w:name w:val="footnote reference"/>
    <w:basedOn w:val="Policepardfaut"/>
    <w:uiPriority w:val="99"/>
    <w:semiHidden/>
    <w:unhideWhenUsed/>
    <w:rsid w:val="002D1597"/>
    <w:rPr>
      <w:vertAlign w:val="superscript"/>
    </w:rPr>
  </w:style>
  <w:style w:type="paragraph" w:styleId="Lgende">
    <w:name w:val="caption"/>
    <w:basedOn w:val="Normal"/>
    <w:next w:val="Normal"/>
    <w:uiPriority w:val="35"/>
    <w:unhideWhenUsed/>
    <w:qFormat/>
    <w:rsid w:val="000F213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726</Words>
  <Characters>3994</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18</cp:revision>
  <dcterms:created xsi:type="dcterms:W3CDTF">2025-05-01T22:00:00Z</dcterms:created>
  <dcterms:modified xsi:type="dcterms:W3CDTF">2025-05-05T21:58:00Z</dcterms:modified>
</cp:coreProperties>
</file>