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D0611" w14:textId="77777777" w:rsidR="00F20EB2" w:rsidRPr="006110F6" w:rsidRDefault="00F20EB2" w:rsidP="00F20EB2">
      <w:pPr>
        <w:rPr>
          <w:rFonts w:ascii="Brill" w:eastAsia="Aptos" w:hAnsi="Brill"/>
          <w:color w:val="FF0000"/>
          <w:sz w:val="28"/>
          <w:szCs w:val="28"/>
        </w:rPr>
      </w:pPr>
      <w:r w:rsidRPr="006110F6">
        <w:rPr>
          <w:rFonts w:ascii="Brill" w:eastAsia="Aptos" w:hAnsi="Brill"/>
          <w:color w:val="FF0000"/>
          <w:sz w:val="28"/>
          <w:szCs w:val="28"/>
        </w:rPr>
        <w:t xml:space="preserve">Titulus </w:t>
      </w:r>
      <w:r w:rsidRPr="006110F6">
        <w:rPr>
          <w:rFonts w:ascii="Brill" w:eastAsia="Aptos" w:hAnsi="Brill"/>
          <w:smallCaps/>
          <w:color w:val="FF0000"/>
          <w:sz w:val="28"/>
          <w:szCs w:val="28"/>
        </w:rPr>
        <w:t>xxxiii</w:t>
      </w:r>
      <w:r w:rsidRPr="006110F6">
        <w:rPr>
          <w:rFonts w:ascii="Brill" w:eastAsia="Aptos" w:hAnsi="Brill"/>
          <w:color w:val="FF0000"/>
          <w:sz w:val="28"/>
          <w:szCs w:val="28"/>
        </w:rPr>
        <w:t>.</w:t>
      </w:r>
      <w:r w:rsidRPr="006110F6">
        <w:rPr>
          <w:rStyle w:val="Appelnotedebasdep"/>
          <w:rFonts w:ascii="Brill" w:eastAsia="Aptos" w:hAnsi="Brill"/>
          <w:sz w:val="28"/>
          <w:szCs w:val="28"/>
          <w:lang w:val="fr-FR"/>
        </w:rPr>
        <w:footnoteReference w:id="1"/>
      </w:r>
      <w:r w:rsidRPr="006110F6">
        <w:rPr>
          <w:rFonts w:ascii="Brill" w:eastAsia="Aptos" w:hAnsi="Brill"/>
          <w:color w:val="FF0000"/>
          <w:sz w:val="28"/>
          <w:szCs w:val="28"/>
        </w:rPr>
        <w:t xml:space="preserve"> Utrum Antichristus sit habiturus custodem angelum?</w:t>
      </w:r>
    </w:p>
    <w:p w14:paraId="769E7897" w14:textId="77777777" w:rsidR="00F20EB2" w:rsidRPr="007E676B" w:rsidRDefault="00F20EB2" w:rsidP="00F20EB2">
      <w:pPr>
        <w:rPr>
          <w:rFonts w:ascii="Brill" w:eastAsia="Aptos" w:hAnsi="Brill"/>
          <w:color w:val="FF0000"/>
        </w:rPr>
      </w:pPr>
    </w:p>
    <w:p w14:paraId="38851E76" w14:textId="77777777" w:rsidR="00F20EB2" w:rsidRPr="007E676B" w:rsidRDefault="00F20EB2" w:rsidP="00F20EB2">
      <w:pPr>
        <w:rPr>
          <w:rFonts w:ascii="Brill" w:hAnsi="Brill"/>
        </w:rPr>
      </w:pPr>
      <w:r w:rsidRPr="007E676B">
        <w:rPr>
          <w:rFonts w:ascii="Brill" w:hAnsi="Brill"/>
        </w:rPr>
        <w:t>—Dixisti, praeceptor, omnibus hominibus dedisse Deum angelum custodem. Antichristum</w:t>
      </w:r>
      <w:r w:rsidRPr="007E676B">
        <w:rPr>
          <w:rStyle w:val="Appelnotedebasdep"/>
          <w:rFonts w:ascii="Brill" w:hAnsi="Brill"/>
        </w:rPr>
        <w:footnoteReference w:id="2"/>
      </w:r>
      <w:r w:rsidRPr="007E676B">
        <w:rPr>
          <w:rFonts w:ascii="Brill" w:hAnsi="Brill"/>
        </w:rPr>
        <w:t xml:space="preserve"> vero, certissima res est futurum hominem ex carne deque viro deque femina. Vellem scire: nunquid et angelus bonus ei</w:t>
      </w:r>
      <w:r w:rsidRPr="007E676B">
        <w:rPr>
          <w:rStyle w:val="Appelnotedebasdep"/>
          <w:rFonts w:ascii="Brill" w:hAnsi="Brill"/>
        </w:rPr>
        <w:footnoteReference w:id="3"/>
      </w:r>
      <w:r w:rsidRPr="007E676B">
        <w:rPr>
          <w:rFonts w:ascii="Brill" w:hAnsi="Brill"/>
        </w:rPr>
        <w:t xml:space="preserve"> sit adhaesurus in custodiam aeque atque aliis hominibus?</w:t>
      </w:r>
    </w:p>
    <w:p w14:paraId="65EE5408" w14:textId="77777777" w:rsidR="00F20EB2" w:rsidRPr="007E676B" w:rsidRDefault="00F20EB2" w:rsidP="00F20EB2">
      <w:pPr>
        <w:rPr>
          <w:rFonts w:ascii="Brill" w:hAnsi="Brill"/>
        </w:rPr>
      </w:pPr>
    </w:p>
    <w:p w14:paraId="031A9578" w14:textId="77777777" w:rsidR="00F20EB2" w:rsidRPr="007E676B" w:rsidRDefault="00F20EB2" w:rsidP="00F20EB2">
      <w:pPr>
        <w:rPr>
          <w:rFonts w:ascii="Brill" w:hAnsi="Brill"/>
        </w:rPr>
      </w:pPr>
      <w:r w:rsidRPr="007E676B">
        <w:rPr>
          <w:rFonts w:ascii="Brill" w:hAnsi="Brill"/>
        </w:rPr>
        <w:t>Ad haec magister:</w:t>
      </w:r>
    </w:p>
    <w:p w14:paraId="2DE4D8EA" w14:textId="77777777" w:rsidR="00F20EB2" w:rsidRPr="007E676B" w:rsidRDefault="00F20EB2" w:rsidP="00F20EB2">
      <w:pPr>
        <w:rPr>
          <w:rFonts w:ascii="Brill" w:hAnsi="Brill"/>
        </w:rPr>
      </w:pPr>
    </w:p>
    <w:p w14:paraId="3F6244F4" w14:textId="77777777" w:rsidR="00F20EB2" w:rsidRPr="007E676B" w:rsidRDefault="00F20EB2" w:rsidP="00F20EB2">
      <w:pPr>
        <w:rPr>
          <w:rFonts w:ascii="Brill" w:hAnsi="Brill"/>
        </w:rPr>
      </w:pPr>
      <w:r w:rsidRPr="007E676B">
        <w:rPr>
          <w:rFonts w:ascii="Brill" w:hAnsi="Brill"/>
        </w:rPr>
        <w:t>—Incomperto tibi sit. Siquidem Antichristus futurus est homo carneus, et patre matreque genitus, ipsius quoque animam sortituram angelum custodem. Quippe et mortem tandem. Omnia quae Deus fecit plena debent esse et integra. Quod si in re aliqua depravatum quid sit, ut saepe usu venit, laesione aliqua aut membri defectione, hic defectus provenit ex natura, quae non absolvit pensum et opificium suum ob multiplicem causarum concurrentium. At opus Dei</w:t>
      </w:r>
      <w:r w:rsidRPr="007E676B">
        <w:rPr>
          <w:rStyle w:val="Appelnotedebasdep"/>
          <w:rFonts w:ascii="Brill" w:hAnsi="Brill"/>
        </w:rPr>
        <w:footnoteReference w:id="4"/>
      </w:r>
      <w:r w:rsidRPr="007E676B">
        <w:rPr>
          <w:rFonts w:ascii="Brill" w:hAnsi="Brill"/>
        </w:rPr>
        <w:t xml:space="preserve"> in nullo peccavit nec deficiet.</w:t>
      </w:r>
    </w:p>
    <w:p w14:paraId="37FC1B1C" w14:textId="77777777" w:rsidR="00F20EB2" w:rsidRPr="007E676B" w:rsidRDefault="00F20EB2" w:rsidP="00F20EB2">
      <w:pPr>
        <w:rPr>
          <w:rFonts w:ascii="Brill" w:hAnsi="Brill"/>
        </w:rPr>
      </w:pPr>
    </w:p>
    <w:p w14:paraId="5DA8CC2C" w14:textId="77777777" w:rsidR="00F20EB2" w:rsidRPr="007E676B" w:rsidRDefault="00F20EB2" w:rsidP="00F20EB2">
      <w:pPr>
        <w:rPr>
          <w:rFonts w:ascii="Brill" w:hAnsi="Brill"/>
        </w:rPr>
      </w:pPr>
      <w:r w:rsidRPr="007E676B">
        <w:rPr>
          <w:rFonts w:ascii="Brill" w:hAnsi="Brill"/>
        </w:rPr>
        <w:t>Inter divina opera eximium est creatio animae ex nihilo. Talia opera Deus vult plena et integra esse, ut suam ostentet sapientiam et potentiam, atque nullum vult hisce in rebus notari defectum. Quare oportet Antichristum, quoniam quidem futurus est homo ex carne, de viri semine animam habere; quam animam nemo alius valuit creare nisi ipse Deus, qui potestatem habet omnia creandi.</w:t>
      </w:r>
    </w:p>
    <w:p w14:paraId="2FADAD5F" w14:textId="77777777" w:rsidR="00F20EB2" w:rsidRPr="007E676B" w:rsidRDefault="00F20EB2" w:rsidP="00F20EB2">
      <w:pPr>
        <w:rPr>
          <w:rFonts w:ascii="Brill" w:hAnsi="Brill"/>
        </w:rPr>
      </w:pPr>
    </w:p>
    <w:p w14:paraId="34E0D2E1" w14:textId="77777777" w:rsidR="00F20EB2" w:rsidRPr="007E676B" w:rsidRDefault="00F20EB2" w:rsidP="00F20EB2">
      <w:pPr>
        <w:rPr>
          <w:rFonts w:ascii="Brill" w:hAnsi="Brill"/>
        </w:rPr>
      </w:pPr>
      <w:r w:rsidRPr="007E676B">
        <w:rPr>
          <w:rFonts w:ascii="Brill" w:hAnsi="Brill"/>
        </w:rPr>
        <w:t xml:space="preserve">Itaque, cum eius anima opificium Dei erit, plene eam dotavit, ac reliquorum hominum animas. Memento, quaeso, quod Iudae accidit, qui discipulus Domini fuit. Cum eius animam Deus condidit, noverat optime proditionem qua ab ipso Iuda tradendus erat, prorsus eodem modo ac postea novit cum res ipsa venit. Ideo invenimus antea praedixisse: </w:t>
      </w:r>
      <w:r w:rsidRPr="007E676B">
        <w:rPr>
          <w:rFonts w:ascii="Brill" w:hAnsi="Brill"/>
          <w:i/>
          <w:iCs/>
        </w:rPr>
        <w:t>Bonum esset homini illi si natus non esset</w:t>
      </w:r>
      <w:r w:rsidRPr="007E676B">
        <w:rPr>
          <w:rFonts w:ascii="Brill" w:hAnsi="Brill"/>
        </w:rPr>
        <w:t>.</w:t>
      </w:r>
      <w:r>
        <w:rPr>
          <w:rStyle w:val="Appelnotedebasdep"/>
          <w:rFonts w:ascii="Brill" w:hAnsi="Brill"/>
        </w:rPr>
        <w:footnoteReference w:id="5"/>
      </w:r>
      <w:r w:rsidRPr="007E676B">
        <w:rPr>
          <w:rFonts w:ascii="Brill" w:hAnsi="Brill"/>
        </w:rPr>
        <w:t xml:space="preserve"> In alio loco dicitur: </w:t>
      </w:r>
      <w:r w:rsidRPr="007E676B">
        <w:rPr>
          <w:rFonts w:ascii="Brill" w:hAnsi="Brill"/>
          <w:i/>
          <w:iCs/>
        </w:rPr>
        <w:t>Ex his quos dedisti mihi, non amisi quemquam nisi filium perditionis</w:t>
      </w:r>
      <w:r w:rsidRPr="007E676B">
        <w:rPr>
          <w:rFonts w:ascii="Brill" w:hAnsi="Brill"/>
        </w:rPr>
        <w:t>.</w:t>
      </w:r>
      <w:r>
        <w:rPr>
          <w:rStyle w:val="Appelnotedebasdep"/>
          <w:rFonts w:ascii="Brill" w:hAnsi="Brill"/>
        </w:rPr>
        <w:footnoteReference w:id="6"/>
      </w:r>
    </w:p>
    <w:p w14:paraId="3006D283" w14:textId="77777777" w:rsidR="00F20EB2" w:rsidRPr="007E676B" w:rsidRDefault="00F20EB2" w:rsidP="00F20EB2">
      <w:pPr>
        <w:rPr>
          <w:rFonts w:ascii="Brill" w:hAnsi="Brill"/>
        </w:rPr>
      </w:pPr>
    </w:p>
    <w:p w14:paraId="5B320AA0" w14:textId="1C28F176" w:rsidR="00D17F4F" w:rsidRPr="00F20EB2" w:rsidRDefault="00F20EB2" w:rsidP="00F20EB2">
      <w:pPr>
        <w:rPr>
          <w:rFonts w:ascii="Brill" w:hAnsi="Brill"/>
        </w:rPr>
      </w:pPr>
      <w:r w:rsidRPr="007E676B">
        <w:rPr>
          <w:rFonts w:ascii="Brill" w:hAnsi="Brill"/>
        </w:rPr>
        <w:t>Inde, sicuti Iudae animae concessit Deus angelum bonum qui</w:t>
      </w:r>
      <w:r w:rsidRPr="007E676B">
        <w:rPr>
          <w:rStyle w:val="Appelnotedebasdep"/>
          <w:rFonts w:ascii="Brill" w:hAnsi="Brill"/>
        </w:rPr>
        <w:footnoteReference w:id="7"/>
      </w:r>
      <w:r w:rsidRPr="007E676B">
        <w:rPr>
          <w:rFonts w:ascii="Brill" w:hAnsi="Brill"/>
        </w:rPr>
        <w:t xml:space="preserve"> custodiret illum, quamvis spiritus nequam evicturus eius</w:t>
      </w:r>
      <w:r w:rsidRPr="007E676B">
        <w:rPr>
          <w:rStyle w:val="Appelnotedebasdep"/>
          <w:rFonts w:ascii="Brill" w:hAnsi="Brill"/>
        </w:rPr>
        <w:footnoteReference w:id="8"/>
      </w:r>
      <w:r w:rsidRPr="007E676B">
        <w:rPr>
          <w:rFonts w:ascii="Brill" w:hAnsi="Brill"/>
        </w:rPr>
        <w:t xml:space="preserve"> animam esset et extracturus a via boni in perniciem, donec suus penitus evasit, sic continget Antichristo. Custodem angelum eius anima habitura est, perinde ac reliqui homines. Assidue sanctus angelus custoditurus est illum, ulla licet absque spe salutis. Novit enim perditionem suam. Sed</w:t>
      </w:r>
      <w:r w:rsidRPr="007E676B">
        <w:rPr>
          <w:rStyle w:val="Appelnotedebasdep"/>
          <w:rFonts w:ascii="Brill" w:hAnsi="Brill"/>
        </w:rPr>
        <w:footnoteReference w:id="9"/>
      </w:r>
      <w:r w:rsidRPr="007E676B">
        <w:rPr>
          <w:rFonts w:ascii="Brill" w:hAnsi="Brill"/>
        </w:rPr>
        <w:t xml:space="preserve"> si ab angelo desereretur, plura maioraque facinora patrasset.</w:t>
      </w:r>
      <w:r w:rsidRPr="007E676B">
        <w:rPr>
          <w:rStyle w:val="Appelnotedebasdep"/>
          <w:rFonts w:ascii="Brill" w:hAnsi="Brill"/>
        </w:rPr>
        <w:footnoteReference w:id="10"/>
      </w:r>
    </w:p>
    <w:sectPr w:rsidR="00D17F4F" w:rsidRPr="00F20E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07E93" w14:textId="77777777" w:rsidR="00C04D18" w:rsidRDefault="00C04D18" w:rsidP="008639B6">
      <w:r>
        <w:separator/>
      </w:r>
    </w:p>
  </w:endnote>
  <w:endnote w:type="continuationSeparator" w:id="0">
    <w:p w14:paraId="3F4B9A8A" w14:textId="77777777" w:rsidR="00C04D18" w:rsidRDefault="00C04D18" w:rsidP="0086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FAA41" w14:textId="77777777" w:rsidR="00C04D18" w:rsidRDefault="00C04D18" w:rsidP="008639B6">
      <w:r>
        <w:separator/>
      </w:r>
    </w:p>
  </w:footnote>
  <w:footnote w:type="continuationSeparator" w:id="0">
    <w:p w14:paraId="0DD887D6" w14:textId="77777777" w:rsidR="00C04D18" w:rsidRDefault="00C04D18" w:rsidP="008639B6">
      <w:r>
        <w:continuationSeparator/>
      </w:r>
    </w:p>
  </w:footnote>
  <w:footnote w:id="1">
    <w:p w14:paraId="33772B4F" w14:textId="77777777" w:rsidR="00F20EB2" w:rsidRPr="008F7B4A" w:rsidRDefault="00F20EB2" w:rsidP="00F20EB2">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8F7B4A">
        <w:rPr>
          <w:rFonts w:ascii="Brill" w:hAnsi="Brill"/>
          <w:smallCaps/>
        </w:rPr>
        <w:t>xxxiii</w:t>
      </w:r>
      <w:r w:rsidRPr="008F7B4A">
        <w:rPr>
          <w:rFonts w:ascii="Brill" w:hAnsi="Brill"/>
        </w:rPr>
        <w:t>] 33</w:t>
      </w:r>
      <w:r w:rsidRPr="008F7B4A">
        <w:rPr>
          <w:rFonts w:ascii="Brill" w:hAnsi="Brill"/>
          <w:i/>
          <w:iCs/>
        </w:rPr>
        <w:t xml:space="preserve"> in</w:t>
      </w:r>
      <w:r w:rsidRPr="008F7B4A">
        <w:rPr>
          <w:rFonts w:ascii="Brill" w:hAnsi="Brill"/>
        </w:rPr>
        <w:t xml:space="preserve"> 32 </w:t>
      </w:r>
      <w:r w:rsidRPr="008F7B4A">
        <w:rPr>
          <w:rFonts w:ascii="Brill" w:hAnsi="Brill"/>
          <w:i/>
          <w:iCs/>
        </w:rPr>
        <w:t>corr. N</w:t>
      </w:r>
    </w:p>
  </w:footnote>
  <w:footnote w:id="2">
    <w:p w14:paraId="7DC53CF4" w14:textId="77777777" w:rsidR="00F20EB2" w:rsidRPr="008F7B4A" w:rsidRDefault="00F20EB2" w:rsidP="00F20EB2">
      <w:pPr>
        <w:pStyle w:val="Notedebasdepage"/>
        <w:rPr>
          <w:rFonts w:ascii="Brill" w:hAnsi="Brill"/>
        </w:rPr>
      </w:pPr>
      <w:r w:rsidRPr="008F7B4A">
        <w:rPr>
          <w:rStyle w:val="Appelnotedebasdep"/>
          <w:rFonts w:ascii="Brill" w:hAnsi="Brill"/>
        </w:rPr>
        <w:footnoteRef/>
      </w:r>
      <w:r w:rsidRPr="008F7B4A">
        <w:rPr>
          <w:rFonts w:ascii="Brill" w:hAnsi="Brill"/>
        </w:rPr>
        <w:t xml:space="preserve"> Antichristum vero] verum antichristum</w:t>
      </w:r>
      <w:r w:rsidRPr="008F7B4A">
        <w:rPr>
          <w:rFonts w:ascii="Brill" w:hAnsi="Brill"/>
          <w:i/>
          <w:iCs/>
        </w:rPr>
        <w:t xml:space="preserve"> in </w:t>
      </w:r>
      <w:r w:rsidRPr="008F7B4A">
        <w:rPr>
          <w:rFonts w:ascii="Brill" w:hAnsi="Brill"/>
        </w:rPr>
        <w:t xml:space="preserve">antichristum vero </w:t>
      </w:r>
      <w:r w:rsidRPr="008F7B4A">
        <w:rPr>
          <w:rFonts w:ascii="Brill" w:hAnsi="Brill"/>
          <w:i/>
          <w:iCs/>
        </w:rPr>
        <w:t>corr. N</w:t>
      </w:r>
    </w:p>
  </w:footnote>
  <w:footnote w:id="3">
    <w:p w14:paraId="12C052E1" w14:textId="77777777" w:rsidR="00F20EB2" w:rsidRPr="008F7B4A" w:rsidRDefault="00F20EB2" w:rsidP="00F20EB2">
      <w:pPr>
        <w:pStyle w:val="Notedebasdepage"/>
        <w:rPr>
          <w:rFonts w:ascii="Brill" w:hAnsi="Brill"/>
        </w:rPr>
      </w:pPr>
      <w:r w:rsidRPr="008F7B4A">
        <w:rPr>
          <w:rStyle w:val="Appelnotedebasdep"/>
          <w:rFonts w:ascii="Brill" w:hAnsi="Brill"/>
        </w:rPr>
        <w:footnoteRef/>
      </w:r>
      <w:r w:rsidRPr="008F7B4A">
        <w:rPr>
          <w:rFonts w:ascii="Brill" w:hAnsi="Brill"/>
        </w:rPr>
        <w:t xml:space="preserve"> ei] es </w:t>
      </w:r>
      <w:r w:rsidRPr="008F7B4A">
        <w:rPr>
          <w:rFonts w:ascii="Brill" w:hAnsi="Brill"/>
          <w:i/>
          <w:iCs/>
        </w:rPr>
        <w:t>corr</w:t>
      </w:r>
      <w:r w:rsidRPr="008F7B4A">
        <w:rPr>
          <w:rFonts w:ascii="Brill" w:hAnsi="Brill"/>
        </w:rPr>
        <w:t xml:space="preserve">. ei </w:t>
      </w:r>
      <w:r w:rsidRPr="008F7B4A">
        <w:rPr>
          <w:rFonts w:ascii="Brill" w:hAnsi="Brill"/>
          <w:i/>
          <w:iCs/>
        </w:rPr>
        <w:t>corr. N</w:t>
      </w:r>
    </w:p>
  </w:footnote>
  <w:footnote w:id="4">
    <w:p w14:paraId="77384D56" w14:textId="77777777" w:rsidR="00F20EB2" w:rsidRPr="008F7B4A" w:rsidRDefault="00F20EB2" w:rsidP="00F20EB2">
      <w:pPr>
        <w:pStyle w:val="Notedebasdepage"/>
        <w:rPr>
          <w:rFonts w:ascii="Brill" w:hAnsi="Brill"/>
        </w:rPr>
      </w:pPr>
      <w:r w:rsidRPr="008F7B4A">
        <w:rPr>
          <w:rStyle w:val="Appelnotedebasdep"/>
          <w:rFonts w:ascii="Brill" w:hAnsi="Brill"/>
        </w:rPr>
        <w:footnoteRef/>
      </w:r>
      <w:r w:rsidRPr="008F7B4A">
        <w:rPr>
          <w:rFonts w:ascii="Brill" w:hAnsi="Brill"/>
        </w:rPr>
        <w:t xml:space="preserve"> est</w:t>
      </w:r>
      <w:r w:rsidRPr="008F7B4A">
        <w:rPr>
          <w:rFonts w:ascii="Brill" w:hAnsi="Brill"/>
          <w:i/>
          <w:iCs/>
        </w:rPr>
        <w:t xml:space="preserve"> cancell. N</w:t>
      </w:r>
    </w:p>
  </w:footnote>
  <w:footnote w:id="5">
    <w:p w14:paraId="45FBE702" w14:textId="77777777" w:rsidR="00F20EB2" w:rsidRPr="004355B1" w:rsidRDefault="00F20EB2" w:rsidP="00F20EB2">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4355B1">
        <w:rPr>
          <w:rFonts w:ascii="Brill" w:hAnsi="Brill"/>
        </w:rPr>
        <w:t>Marc. 14, 21</w:t>
      </w:r>
    </w:p>
  </w:footnote>
  <w:footnote w:id="6">
    <w:p w14:paraId="6BDA20D9" w14:textId="77777777" w:rsidR="00F20EB2" w:rsidRPr="008F7B4A" w:rsidRDefault="00F20EB2" w:rsidP="00F20EB2">
      <w:pPr>
        <w:pStyle w:val="Notedebasdepage"/>
        <w:rPr>
          <w:rFonts w:ascii="Brill" w:hAnsi="Brill"/>
        </w:rPr>
      </w:pPr>
      <w:r w:rsidRPr="008F7B4A">
        <w:rPr>
          <w:rStyle w:val="Appelnotedebasdep"/>
          <w:rFonts w:ascii="Brill" w:hAnsi="Brill"/>
        </w:rPr>
        <w:footnoteRef/>
      </w:r>
      <w:r w:rsidRPr="008F7B4A">
        <w:rPr>
          <w:rFonts w:ascii="Brill" w:hAnsi="Brill"/>
        </w:rPr>
        <w:t xml:space="preserve"> Ioh. 17, 12</w:t>
      </w:r>
    </w:p>
  </w:footnote>
  <w:footnote w:id="7">
    <w:p w14:paraId="2A2B1EF8" w14:textId="77777777" w:rsidR="00F20EB2" w:rsidRPr="008F7B4A" w:rsidRDefault="00F20EB2" w:rsidP="00F20EB2">
      <w:pPr>
        <w:pStyle w:val="Notedebasdepage"/>
        <w:rPr>
          <w:rFonts w:ascii="Brill" w:hAnsi="Brill"/>
        </w:rPr>
      </w:pPr>
      <w:r w:rsidRPr="008F7B4A">
        <w:rPr>
          <w:rStyle w:val="Appelnotedebasdep"/>
          <w:rFonts w:ascii="Brill" w:hAnsi="Brill"/>
        </w:rPr>
        <w:footnoteRef/>
      </w:r>
      <w:r w:rsidRPr="008F7B4A">
        <w:rPr>
          <w:rFonts w:ascii="Brill" w:hAnsi="Brill"/>
        </w:rPr>
        <w:t xml:space="preserve"> Dei] ad eius dextram</w:t>
      </w:r>
      <w:r w:rsidRPr="008F7B4A">
        <w:rPr>
          <w:rFonts w:ascii="Brill" w:hAnsi="Brill"/>
          <w:i/>
          <w:iCs/>
        </w:rPr>
        <w:t xml:space="preserve"> cancell. N</w:t>
      </w:r>
    </w:p>
  </w:footnote>
  <w:footnote w:id="8">
    <w:p w14:paraId="534FC66A" w14:textId="77777777" w:rsidR="00F20EB2" w:rsidRPr="008F7B4A" w:rsidRDefault="00F20EB2" w:rsidP="00F20EB2">
      <w:pPr>
        <w:pStyle w:val="Notedebasdepage"/>
        <w:rPr>
          <w:rFonts w:ascii="Brill" w:hAnsi="Brill"/>
        </w:rPr>
      </w:pPr>
      <w:r w:rsidRPr="008F7B4A">
        <w:rPr>
          <w:rStyle w:val="Appelnotedebasdep"/>
          <w:rFonts w:ascii="Brill" w:hAnsi="Brill"/>
        </w:rPr>
        <w:footnoteRef/>
      </w:r>
      <w:r w:rsidRPr="008F7B4A">
        <w:rPr>
          <w:rFonts w:ascii="Brill" w:hAnsi="Brill"/>
        </w:rPr>
        <w:t xml:space="preserve"> eius animam] </w:t>
      </w:r>
      <w:r w:rsidRPr="008F7B4A">
        <w:rPr>
          <w:rFonts w:ascii="Brill" w:hAnsi="Brill"/>
          <w:i/>
          <w:iCs/>
        </w:rPr>
        <w:t>sup. l. add</w:t>
      </w:r>
      <w:r w:rsidRPr="008F7B4A">
        <w:rPr>
          <w:rFonts w:ascii="Brill" w:hAnsi="Brill"/>
        </w:rPr>
        <w:t xml:space="preserve">. </w:t>
      </w:r>
      <w:r w:rsidRPr="008F7B4A">
        <w:rPr>
          <w:rFonts w:ascii="Brill" w:hAnsi="Brill"/>
          <w:i/>
          <w:iCs/>
        </w:rPr>
        <w:t>N</w:t>
      </w:r>
    </w:p>
  </w:footnote>
  <w:footnote w:id="9">
    <w:p w14:paraId="367BC4CC" w14:textId="77777777" w:rsidR="00F20EB2" w:rsidRPr="008F7B4A" w:rsidRDefault="00F20EB2" w:rsidP="00F20EB2">
      <w:pPr>
        <w:pStyle w:val="Notedebasdepage"/>
        <w:rPr>
          <w:rFonts w:ascii="Brill" w:hAnsi="Brill"/>
        </w:rPr>
      </w:pPr>
      <w:r w:rsidRPr="008F7B4A">
        <w:rPr>
          <w:rStyle w:val="Appelnotedebasdep"/>
          <w:rFonts w:ascii="Brill" w:hAnsi="Brill"/>
        </w:rPr>
        <w:footnoteRef/>
      </w:r>
      <w:r w:rsidRPr="008F7B4A">
        <w:rPr>
          <w:rFonts w:ascii="Brill" w:hAnsi="Brill"/>
        </w:rPr>
        <w:t xml:space="preserve"> Sed] quia</w:t>
      </w:r>
      <w:r w:rsidRPr="008F7B4A">
        <w:rPr>
          <w:rFonts w:ascii="Brill" w:hAnsi="Brill"/>
          <w:i/>
          <w:iCs/>
        </w:rPr>
        <w:t xml:space="preserve"> cancell. N</w:t>
      </w:r>
    </w:p>
  </w:footnote>
  <w:footnote w:id="10">
    <w:p w14:paraId="45399C5A" w14:textId="77777777" w:rsidR="00F20EB2" w:rsidRPr="008F7B4A" w:rsidRDefault="00F20EB2" w:rsidP="00F20EB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patrasset] si non custodiretur</w:t>
      </w:r>
      <w:r w:rsidRPr="008F7B4A">
        <w:rPr>
          <w:rFonts w:ascii="Brill" w:hAnsi="Brill"/>
          <w:i/>
          <w:iCs/>
        </w:rPr>
        <w:t xml:space="preserve"> cancell.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8B"/>
    <w:rsid w:val="00135F8A"/>
    <w:rsid w:val="00154A8E"/>
    <w:rsid w:val="001A37B3"/>
    <w:rsid w:val="00480207"/>
    <w:rsid w:val="0052228B"/>
    <w:rsid w:val="005320EF"/>
    <w:rsid w:val="005874E5"/>
    <w:rsid w:val="00601659"/>
    <w:rsid w:val="006B177F"/>
    <w:rsid w:val="008639B6"/>
    <w:rsid w:val="00891A14"/>
    <w:rsid w:val="00A038F4"/>
    <w:rsid w:val="00C04D18"/>
    <w:rsid w:val="00C25CAA"/>
    <w:rsid w:val="00D17F4F"/>
    <w:rsid w:val="00D31004"/>
    <w:rsid w:val="00D33A4E"/>
    <w:rsid w:val="00D33E9F"/>
    <w:rsid w:val="00DB40EA"/>
    <w:rsid w:val="00E9096B"/>
    <w:rsid w:val="00EC5744"/>
    <w:rsid w:val="00EE4E34"/>
    <w:rsid w:val="00F1432B"/>
    <w:rsid w:val="00F20EB2"/>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86274D"/>
  <w15:chartTrackingRefBased/>
  <w15:docId w15:val="{65FD4BED-C321-6F4A-B3AF-600E8A9E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EB2"/>
  </w:style>
  <w:style w:type="paragraph" w:styleId="Titre1">
    <w:name w:val="heading 1"/>
    <w:basedOn w:val="Normal"/>
    <w:next w:val="Normal"/>
    <w:link w:val="Titre1Car"/>
    <w:uiPriority w:val="9"/>
    <w:qFormat/>
    <w:rsid w:val="00522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22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22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22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2228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2228B"/>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2228B"/>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2228B"/>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2228B"/>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22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22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228B"/>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2228B"/>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2228B"/>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2228B"/>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2228B"/>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2228B"/>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2228B"/>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2228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2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228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228B"/>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2228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2228B"/>
    <w:rPr>
      <w:i/>
      <w:iCs/>
      <w:color w:val="404040" w:themeColor="text1" w:themeTint="BF"/>
    </w:rPr>
  </w:style>
  <w:style w:type="paragraph" w:styleId="Paragraphedeliste">
    <w:name w:val="List Paragraph"/>
    <w:basedOn w:val="Normal"/>
    <w:uiPriority w:val="34"/>
    <w:qFormat/>
    <w:rsid w:val="0052228B"/>
    <w:pPr>
      <w:ind w:left="720"/>
      <w:contextualSpacing/>
    </w:pPr>
  </w:style>
  <w:style w:type="character" w:styleId="Accentuationintense">
    <w:name w:val="Intense Emphasis"/>
    <w:basedOn w:val="Policepardfaut"/>
    <w:uiPriority w:val="21"/>
    <w:qFormat/>
    <w:rsid w:val="0052228B"/>
    <w:rPr>
      <w:i/>
      <w:iCs/>
      <w:color w:val="0F4761" w:themeColor="accent1" w:themeShade="BF"/>
    </w:rPr>
  </w:style>
  <w:style w:type="paragraph" w:styleId="Citationintense">
    <w:name w:val="Intense Quote"/>
    <w:basedOn w:val="Normal"/>
    <w:next w:val="Normal"/>
    <w:link w:val="CitationintenseCar"/>
    <w:uiPriority w:val="30"/>
    <w:qFormat/>
    <w:rsid w:val="00522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228B"/>
    <w:rPr>
      <w:i/>
      <w:iCs/>
      <w:color w:val="0F4761" w:themeColor="accent1" w:themeShade="BF"/>
    </w:rPr>
  </w:style>
  <w:style w:type="character" w:styleId="Rfrenceintense">
    <w:name w:val="Intense Reference"/>
    <w:basedOn w:val="Policepardfaut"/>
    <w:uiPriority w:val="32"/>
    <w:qFormat/>
    <w:rsid w:val="0052228B"/>
    <w:rPr>
      <w:b/>
      <w:bCs/>
      <w:smallCaps/>
      <w:color w:val="0F4761" w:themeColor="accent1" w:themeShade="BF"/>
      <w:spacing w:val="5"/>
    </w:rPr>
  </w:style>
  <w:style w:type="paragraph" w:styleId="Notedebasdepage">
    <w:name w:val="footnote text"/>
    <w:basedOn w:val="Normal"/>
    <w:link w:val="NotedebasdepageCar"/>
    <w:uiPriority w:val="99"/>
    <w:unhideWhenUsed/>
    <w:rsid w:val="008639B6"/>
    <w:rPr>
      <w:sz w:val="20"/>
      <w:szCs w:val="20"/>
    </w:rPr>
  </w:style>
  <w:style w:type="character" w:customStyle="1" w:styleId="NotedebasdepageCar">
    <w:name w:val="Note de bas de page Car"/>
    <w:basedOn w:val="Policepardfaut"/>
    <w:link w:val="Notedebasdepage"/>
    <w:uiPriority w:val="99"/>
    <w:rsid w:val="008639B6"/>
    <w:rPr>
      <w:sz w:val="20"/>
      <w:szCs w:val="20"/>
    </w:rPr>
  </w:style>
  <w:style w:type="character" w:styleId="Appelnotedebasdep">
    <w:name w:val="footnote reference"/>
    <w:basedOn w:val="Policepardfaut"/>
    <w:uiPriority w:val="99"/>
    <w:semiHidden/>
    <w:unhideWhenUsed/>
    <w:rsid w:val="008639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333</Words>
  <Characters>1833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11</cp:revision>
  <dcterms:created xsi:type="dcterms:W3CDTF">2025-05-02T15:12:00Z</dcterms:created>
  <dcterms:modified xsi:type="dcterms:W3CDTF">2025-05-05T22:03:00Z</dcterms:modified>
</cp:coreProperties>
</file>