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DF332" w14:textId="77777777" w:rsidR="005251CB" w:rsidRPr="006110F6" w:rsidRDefault="005251CB" w:rsidP="005251CB">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ix</w:t>
      </w:r>
      <w:r w:rsidRPr="006110F6">
        <w:rPr>
          <w:rFonts w:ascii="Brill" w:eastAsia="Aptos" w:hAnsi="Brill"/>
          <w:color w:val="FF0000"/>
          <w:sz w:val="28"/>
          <w:szCs w:val="28"/>
          <w:lang w:val="fr-FR"/>
        </w:rPr>
        <w:t>. Cum resecatur pes, manusue, utrum par uirtus animae praecidatur quam in corpore habet?</w:t>
      </w:r>
    </w:p>
    <w:p w14:paraId="25F77545" w14:textId="77777777" w:rsidR="005251CB" w:rsidRPr="007E676B" w:rsidRDefault="005251CB" w:rsidP="005251CB">
      <w:pPr>
        <w:rPr>
          <w:rFonts w:ascii="Brill" w:hAnsi="Brill"/>
        </w:rPr>
      </w:pPr>
    </w:p>
    <w:p w14:paraId="215AA312" w14:textId="77777777" w:rsidR="005251CB" w:rsidRPr="007E676B" w:rsidRDefault="005251CB" w:rsidP="005251CB">
      <w:pPr>
        <w:rPr>
          <w:rFonts w:ascii="Brill" w:hAnsi="Brill"/>
        </w:rPr>
      </w:pPr>
      <w:r w:rsidRPr="007E676B">
        <w:rPr>
          <w:rFonts w:ascii="Brill" w:hAnsi="Brill"/>
        </w:rPr>
        <w:t>Interrogavit auditor:</w:t>
      </w:r>
    </w:p>
    <w:p w14:paraId="2D2EBC90" w14:textId="77777777" w:rsidR="005251CB" w:rsidRPr="007E676B" w:rsidRDefault="005251CB" w:rsidP="005251CB">
      <w:pPr>
        <w:rPr>
          <w:rFonts w:ascii="Brill" w:hAnsi="Brill"/>
        </w:rPr>
      </w:pPr>
    </w:p>
    <w:p w14:paraId="75049DAD" w14:textId="77777777" w:rsidR="005251CB" w:rsidRPr="007E676B" w:rsidRDefault="005251CB" w:rsidP="005251CB">
      <w:pPr>
        <w:rPr>
          <w:rFonts w:ascii="Brill" w:hAnsi="Brill"/>
        </w:rPr>
      </w:pPr>
      <w:r w:rsidRPr="007E676B">
        <w:rPr>
          <w:rFonts w:ascii="Brill" w:hAnsi="Brill"/>
        </w:rPr>
        <w:t>—Cum praescinditur pes sive manus, num eadem animae quantitas secatur? Quota in corpore scinditur? Tum virtus eius portionis, quae in pede manuve conciditur, an remeat in corpus, vel eo avolat</w:t>
      </w:r>
      <w:r w:rsidRPr="007E676B">
        <w:rPr>
          <w:rStyle w:val="Appelnotedebasdep"/>
          <w:rFonts w:ascii="Brill" w:hAnsi="Brill"/>
        </w:rPr>
        <w:footnoteReference w:id="1"/>
      </w:r>
      <w:r w:rsidRPr="007E676B">
        <w:rPr>
          <w:rFonts w:ascii="Brill" w:hAnsi="Brill"/>
        </w:rPr>
        <w:t xml:space="preserve"> quo anima, si excederet, aut quo petit, aut ubi desinit? Nosse hoc vellem.</w:t>
      </w:r>
    </w:p>
    <w:p w14:paraId="4D21ECFC" w14:textId="77777777" w:rsidR="005251CB" w:rsidRPr="007E676B" w:rsidRDefault="005251CB" w:rsidP="005251CB">
      <w:pPr>
        <w:rPr>
          <w:rFonts w:ascii="Brill" w:hAnsi="Brill"/>
        </w:rPr>
      </w:pPr>
    </w:p>
    <w:p w14:paraId="298D520B" w14:textId="77777777" w:rsidR="005251CB" w:rsidRPr="007E676B" w:rsidRDefault="005251CB" w:rsidP="005251CB">
      <w:pPr>
        <w:rPr>
          <w:rFonts w:ascii="Brill" w:hAnsi="Brill"/>
        </w:rPr>
      </w:pPr>
      <w:r w:rsidRPr="007E676B">
        <w:rPr>
          <w:rFonts w:ascii="Brill" w:hAnsi="Brill"/>
        </w:rPr>
        <w:t>—Cum accidit —ait magister— vulnus, quo resecatur pes, manus, aut aliud quodvis membrum, eo in loco portio virtutis animae residet, quae in sanguine delitescit, quo membrum illud procuratur. Vis enim animae sanguinem fovet, quo ut ministro sibi utitur, ut per totum corpus effluat et decurrat.</w:t>
      </w:r>
    </w:p>
    <w:p w14:paraId="2D914950" w14:textId="77777777" w:rsidR="005251CB" w:rsidRPr="007E676B" w:rsidRDefault="005251CB" w:rsidP="005251CB">
      <w:pPr>
        <w:rPr>
          <w:rFonts w:ascii="Brill" w:hAnsi="Brill"/>
        </w:rPr>
      </w:pPr>
    </w:p>
    <w:p w14:paraId="39B64952" w14:textId="77777777" w:rsidR="005251CB" w:rsidRPr="007E676B" w:rsidRDefault="005251CB" w:rsidP="005251CB">
      <w:pPr>
        <w:rPr>
          <w:rFonts w:ascii="Brill" w:hAnsi="Brill"/>
        </w:rPr>
      </w:pPr>
      <w:r w:rsidRPr="007E676B">
        <w:rPr>
          <w:rFonts w:ascii="Brill" w:hAnsi="Brill"/>
        </w:rPr>
        <w:t>Igitur cum vulnus</w:t>
      </w:r>
      <w:r w:rsidRPr="007E676B">
        <w:rPr>
          <w:rStyle w:val="Appelnotedebasdep"/>
          <w:rFonts w:ascii="Brill" w:hAnsi="Brill"/>
        </w:rPr>
        <w:footnoteReference w:id="2"/>
      </w:r>
      <w:r w:rsidRPr="007E676B">
        <w:rPr>
          <w:rFonts w:ascii="Brill" w:hAnsi="Brill"/>
        </w:rPr>
        <w:t xml:space="preserve"> sit in loco membri recissi, simul ac vulnus infligitur, accurrit sanguis calens, animae vi quam fert secum, ut per illud diffluat qua parte difunditur. Atque cum ea pars resecta sit, acris frigor sanguini intruditur ac corrumpit illum. Virtus vero animae sanguinis corruptionem persentiscit atque in illum locum refluit, ubi radix et vigor praecipuus praesidet.</w:t>
      </w:r>
    </w:p>
    <w:p w14:paraId="21279EAA" w14:textId="77777777" w:rsidR="005251CB" w:rsidRPr="007E676B" w:rsidRDefault="005251CB" w:rsidP="005251CB">
      <w:pPr>
        <w:rPr>
          <w:rFonts w:ascii="Brill" w:hAnsi="Brill"/>
        </w:rPr>
      </w:pPr>
    </w:p>
    <w:p w14:paraId="1D621C50" w14:textId="17927B6E" w:rsidR="00D17F4F" w:rsidRPr="005251CB" w:rsidRDefault="005251CB" w:rsidP="005251CB">
      <w:pPr>
        <w:rPr>
          <w:rFonts w:ascii="Brill" w:hAnsi="Brill"/>
        </w:rPr>
      </w:pPr>
      <w:r w:rsidRPr="007E676B">
        <w:rPr>
          <w:rFonts w:ascii="Brill" w:hAnsi="Brill"/>
        </w:rPr>
        <w:t>Noris probe quae docuerim: te instar angelorum fuisse animam, quae exordium sortiatur, sed interitum nullum. Si igitur animus potuisset praecidi, exitium haberet, par aliis creaturis, suique defectum experiretur, prorsus eo pacto ac corpus in amisso membro.</w:t>
      </w:r>
    </w:p>
    <w:sectPr w:rsidR="00D17F4F" w:rsidRPr="00525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BD346" w14:textId="77777777" w:rsidR="00043968" w:rsidRDefault="00043968" w:rsidP="003912D1">
      <w:r>
        <w:separator/>
      </w:r>
    </w:p>
  </w:endnote>
  <w:endnote w:type="continuationSeparator" w:id="0">
    <w:p w14:paraId="418CDDB9" w14:textId="77777777" w:rsidR="00043968" w:rsidRDefault="00043968" w:rsidP="0039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99A3" w14:textId="77777777" w:rsidR="00043968" w:rsidRDefault="00043968" w:rsidP="003912D1">
      <w:r>
        <w:separator/>
      </w:r>
    </w:p>
  </w:footnote>
  <w:footnote w:type="continuationSeparator" w:id="0">
    <w:p w14:paraId="1FCB62D9" w14:textId="77777777" w:rsidR="00043968" w:rsidRDefault="00043968" w:rsidP="003912D1">
      <w:r>
        <w:continuationSeparator/>
      </w:r>
    </w:p>
  </w:footnote>
  <w:footnote w:id="1">
    <w:p w14:paraId="5000CCD3" w14:textId="77777777" w:rsidR="005251CB" w:rsidRPr="008F7B4A" w:rsidRDefault="005251CB" w:rsidP="005251CB">
      <w:pPr>
        <w:pStyle w:val="Notedebasdepage"/>
        <w:rPr>
          <w:rFonts w:ascii="Brill" w:hAnsi="Brill"/>
        </w:rPr>
      </w:pPr>
      <w:r w:rsidRPr="008F7B4A">
        <w:rPr>
          <w:rStyle w:val="Appelnotedebasdep"/>
          <w:rFonts w:ascii="Brill" w:hAnsi="Brill"/>
        </w:rPr>
        <w:footnoteRef/>
      </w:r>
      <w:r w:rsidRPr="008F7B4A">
        <w:rPr>
          <w:rFonts w:ascii="Brill" w:hAnsi="Brill"/>
        </w:rPr>
        <w:t xml:space="preserve"> avolat] avolet </w:t>
      </w:r>
      <w:r w:rsidRPr="008F7B4A">
        <w:rPr>
          <w:rFonts w:ascii="Brill" w:hAnsi="Brill"/>
          <w:i/>
          <w:iCs/>
        </w:rPr>
        <w:t>in</w:t>
      </w:r>
      <w:r w:rsidRPr="008F7B4A">
        <w:rPr>
          <w:rFonts w:ascii="Brill" w:hAnsi="Brill"/>
        </w:rPr>
        <w:t xml:space="preserve"> avolat </w:t>
      </w:r>
      <w:r w:rsidRPr="008F7B4A">
        <w:rPr>
          <w:rFonts w:ascii="Brill" w:hAnsi="Brill"/>
          <w:i/>
          <w:iCs/>
        </w:rPr>
        <w:t>corr. N</w:t>
      </w:r>
    </w:p>
  </w:footnote>
  <w:footnote w:id="2">
    <w:p w14:paraId="49BEA3C7" w14:textId="77777777" w:rsidR="005251CB" w:rsidRPr="008F7B4A" w:rsidRDefault="005251CB" w:rsidP="005251CB">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vulnus] ectus </w:t>
      </w:r>
      <w:r w:rsidRPr="008F7B4A">
        <w:rPr>
          <w:rFonts w:ascii="Brill" w:hAnsi="Brill"/>
          <w:i/>
          <w:iCs/>
        </w:rPr>
        <w:t>cancell. et 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D1"/>
    <w:rsid w:val="00043968"/>
    <w:rsid w:val="00154A8E"/>
    <w:rsid w:val="002E264F"/>
    <w:rsid w:val="00312FFD"/>
    <w:rsid w:val="003912D1"/>
    <w:rsid w:val="00480207"/>
    <w:rsid w:val="005251CB"/>
    <w:rsid w:val="005320EF"/>
    <w:rsid w:val="009E4D08"/>
    <w:rsid w:val="00D17F4F"/>
    <w:rsid w:val="00DE7663"/>
    <w:rsid w:val="00EC5744"/>
    <w:rsid w:val="00ED6169"/>
    <w:rsid w:val="00F1432B"/>
    <w:rsid w:val="00F35AB8"/>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711158"/>
  <w15:chartTrackingRefBased/>
  <w15:docId w15:val="{9CDF9377-1AC1-5649-A7C9-FA323D14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CB"/>
  </w:style>
  <w:style w:type="paragraph" w:styleId="Titre1">
    <w:name w:val="heading 1"/>
    <w:basedOn w:val="Normal"/>
    <w:next w:val="Normal"/>
    <w:link w:val="Titre1Car"/>
    <w:uiPriority w:val="9"/>
    <w:qFormat/>
    <w:rsid w:val="00391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1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12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12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912D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912D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912D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912D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912D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2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12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12D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912D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912D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912D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912D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912D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912D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912D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12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12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12D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912D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912D1"/>
    <w:rPr>
      <w:i/>
      <w:iCs/>
      <w:color w:val="404040" w:themeColor="text1" w:themeTint="BF"/>
    </w:rPr>
  </w:style>
  <w:style w:type="paragraph" w:styleId="Paragraphedeliste">
    <w:name w:val="List Paragraph"/>
    <w:basedOn w:val="Normal"/>
    <w:uiPriority w:val="34"/>
    <w:qFormat/>
    <w:rsid w:val="003912D1"/>
    <w:pPr>
      <w:ind w:left="720"/>
      <w:contextualSpacing/>
    </w:pPr>
  </w:style>
  <w:style w:type="character" w:styleId="Accentuationintense">
    <w:name w:val="Intense Emphasis"/>
    <w:basedOn w:val="Policepardfaut"/>
    <w:uiPriority w:val="21"/>
    <w:qFormat/>
    <w:rsid w:val="003912D1"/>
    <w:rPr>
      <w:i/>
      <w:iCs/>
      <w:color w:val="0F4761" w:themeColor="accent1" w:themeShade="BF"/>
    </w:rPr>
  </w:style>
  <w:style w:type="paragraph" w:styleId="Citationintense">
    <w:name w:val="Intense Quote"/>
    <w:basedOn w:val="Normal"/>
    <w:next w:val="Normal"/>
    <w:link w:val="CitationintenseCar"/>
    <w:uiPriority w:val="30"/>
    <w:qFormat/>
    <w:rsid w:val="00391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12D1"/>
    <w:rPr>
      <w:i/>
      <w:iCs/>
      <w:color w:val="0F4761" w:themeColor="accent1" w:themeShade="BF"/>
    </w:rPr>
  </w:style>
  <w:style w:type="character" w:styleId="Rfrenceintense">
    <w:name w:val="Intense Reference"/>
    <w:basedOn w:val="Policepardfaut"/>
    <w:uiPriority w:val="32"/>
    <w:qFormat/>
    <w:rsid w:val="003912D1"/>
    <w:rPr>
      <w:b/>
      <w:bCs/>
      <w:smallCaps/>
      <w:color w:val="0F4761" w:themeColor="accent1" w:themeShade="BF"/>
      <w:spacing w:val="5"/>
    </w:rPr>
  </w:style>
  <w:style w:type="paragraph" w:styleId="Notedebasdepage">
    <w:name w:val="footnote text"/>
    <w:basedOn w:val="Normal"/>
    <w:link w:val="NotedebasdepageCar"/>
    <w:uiPriority w:val="99"/>
    <w:unhideWhenUsed/>
    <w:rsid w:val="003912D1"/>
    <w:rPr>
      <w:sz w:val="20"/>
      <w:szCs w:val="20"/>
    </w:rPr>
  </w:style>
  <w:style w:type="character" w:customStyle="1" w:styleId="NotedebasdepageCar">
    <w:name w:val="Note de bas de page Car"/>
    <w:basedOn w:val="Policepardfaut"/>
    <w:link w:val="Notedebasdepage"/>
    <w:uiPriority w:val="99"/>
    <w:rsid w:val="003912D1"/>
    <w:rPr>
      <w:sz w:val="20"/>
      <w:szCs w:val="20"/>
    </w:rPr>
  </w:style>
  <w:style w:type="character" w:styleId="Appelnotedebasdep">
    <w:name w:val="footnote reference"/>
    <w:basedOn w:val="Policepardfaut"/>
    <w:uiPriority w:val="99"/>
    <w:semiHidden/>
    <w:unhideWhenUsed/>
    <w:rsid w:val="003912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2025-04-24T20:33:00Z</dcterms:created>
  <dcterms:modified xsi:type="dcterms:W3CDTF">2025-05-05T21:57:00Z</dcterms:modified>
</cp:coreProperties>
</file>