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Informe trimestral</w:t>
      </w:r>
    </w:p>
    <w:p>
      <w:r>
        <w:rPr/>
        <w:t xml:space="preserve">El proyecto avanzó un </w:t>
      </w:r>
      <w:r>
        <w:rPr>
          <w:b/>
        </w:rPr>
        <w:t>12,5 %</w:t>
      </w:r>
      <w:r>
        <w:rPr/>
        <w:t xml:space="preserve"> respecto al trimestre anterior. Responsable: </w:t>
      </w:r>
      <w:r>
        <w:rPr>
          <w:i/>
        </w:rPr>
        <w:t>Lucía Fernández</w:t>
      </w:r>
      <w:r>
        <w:rPr/>
        <w:t>.</w:t>
      </w:r>
    </w:p>
    <w:p>
      <w:pPr>
        <w:pStyle w:val="Heading2"/>
      </w:pPr>
      <w:r>
        <w:rPr/>
        <w:t>Tareas</w:t>
      </w:r>
    </w:p>
    <w:p>
      <w:pPr>
        <w:pStyle w:val="ListBullet"/>
      </w:pPr>
      <w:r>
        <w:rPr/>
        <w:t>Revisar el presupuesto</w:t>
      </w:r>
    </w:p>
    <w:p>
      <w:pPr>
        <w:pStyle w:val="ListBullet"/>
      </w:pPr>
      <w:r>
        <w:rPr/>
        <w:t>Contratar a dos técnicos</w:t>
      </w:r>
    </w:p>
    <w:p>
      <w:pPr>
        <w:pStyle w:val="ListBullet2"/>
      </w:pPr>
      <w:r>
        <w:rPr/>
        <w:t>uno de redes</w:t>
      </w:r>
    </w:p>
    <w:p>
      <w:pPr>
        <w:pStyle w:val="ListNumber"/>
        <w:numPr>
          <w:ilvl w:val="0"/>
          <w:numId w:val="10"/>
        </w:numPr>
      </w:pPr>
      <w:r>
        <w:rPr/>
        <w:t>Primera fase</w:t>
      </w:r>
    </w:p>
    <w:p>
      <w:pPr>
        <w:pStyle w:val="ListNumber"/>
        <w:numPr>
          <w:ilvl w:val="0"/>
          <w:numId w:val="10"/>
        </w:numPr>
      </w:pPr>
      <w:r>
        <w:rPr/>
        <w:t>Segunda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Mes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Gasto (€)</w:t>
            </w:r>
          </w:p>
        </w:tc>
      </w:tr>
      <w:tr>
        <w:tc>
          <w:tcPr>
            <w:tcW w:type="dxa" w:w="4320"/>
          </w:tcPr>
          <w:p>
            <w:r>
              <w:rPr/>
              <w:t>Enero</w:t>
            </w:r>
          </w:p>
        </w:tc>
        <w:tc>
          <w:tcPr>
            <w:tcW w:type="dxa" w:w="4320"/>
          </w:tcPr>
          <w:p>
            <w:r>
              <w:rPr/>
              <w:t>1.200</w:t>
            </w:r>
          </w:p>
        </w:tc>
      </w:tr>
      <w:tr>
        <w:tc>
          <w:tcPr>
            <w:tcW w:type="dxa" w:w="4320"/>
          </w:tcPr>
          <w:p>
            <w:r>
              <w:rPr/>
              <w:t>Febrero</w:t>
            </w:r>
          </w:p>
        </w:tc>
        <w:tc>
          <w:tcPr>
            <w:tcW w:type="dxa" w:w="4320"/>
          </w:tcPr>
          <w:p>
            <w:r>
              <w:rPr/>
              <w:t>980</w:t>
            </w:r>
          </w:p>
        </w:tc>
      </w:tr>
    </w:tbl>
    <w:p/>
    <w:p>
      <w:pPr>
        <w:pStyle w:val="Quote"/>
      </w:pPr>
      <w:r>
        <w:rPr/>
        <w:t>La calidad no es negociable.</w:t>
      </w:r>
    </w:p>
    <w:p>
      <w:r>
        <w:rPr/>
        <w:t xml:space="preserve">Más información en </w:t>
      </w:r>
      <w:hyperlink r:id="rId9">
        <w:r>
          <w:rPr>
            <w:color w:val="1D4ED8"/>
            <w:u w:val="single"/>
          </w:rPr>
          <w:t>la web</w:t>
        </w:r>
      </w:hyperlink>
      <w:r>
        <w:rP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trimestral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