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A38" w:rsidRPr="000C2E97" w:rsidRDefault="00982A38" w:rsidP="00C06CB2">
      <w:pPr>
        <w:pStyle w:val="Title"/>
        <w:jc w:val="left"/>
      </w:pPr>
      <w:r>
        <w:t>Two-photon imaging</w:t>
      </w:r>
      <w:r w:rsidRPr="000C2E97">
        <w:t xml:space="preserve"> </w:t>
      </w:r>
      <w:r>
        <w:t>Data Analysis Workflows</w:t>
      </w: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r w:rsidRPr="000C2E97">
        <w:t xml:space="preserve">This </w:t>
      </w:r>
      <w:r>
        <w:t>document</w:t>
      </w:r>
      <w:r w:rsidRPr="000C2E97">
        <w:t xml:space="preserve"> contains all the necessary information to operate and modify the workflows to </w:t>
      </w:r>
      <w:r>
        <w:t>preprocess and analyze two-photon imaging data</w:t>
      </w:r>
      <w:r w:rsidRPr="000C2E97">
        <w:t xml:space="preserve">. These workflows were developed by Paolo De Luna during his </w:t>
      </w:r>
      <w:r>
        <w:t>postdoc</w:t>
      </w:r>
      <w:r w:rsidRPr="000C2E97">
        <w:t xml:space="preserve"> at </w:t>
      </w:r>
      <w:r>
        <w:t>the University of Bern</w:t>
      </w:r>
      <w:r w:rsidRPr="000C2E97">
        <w:t xml:space="preserve"> in the period </w:t>
      </w:r>
      <w:r>
        <w:t>Feb 2018</w:t>
      </w:r>
      <w:r w:rsidRPr="000C2E97">
        <w:t>–</w:t>
      </w:r>
      <w:r>
        <w:t>XXX</w:t>
      </w:r>
      <w:r w:rsidRPr="000C2E97">
        <w:t>.</w:t>
      </w: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0C2E97" w:rsidRDefault="00982A38" w:rsidP="00C06CB2">
      <w:pPr>
        <w:jc w:val="left"/>
      </w:pPr>
    </w:p>
    <w:p w:rsidR="00982A38" w:rsidRPr="003248EB" w:rsidRDefault="00982A38" w:rsidP="00C06CB2">
      <w:pPr>
        <w:jc w:val="left"/>
        <w:rPr>
          <w:color w:val="808080" w:themeColor="background1" w:themeShade="80"/>
        </w:rPr>
      </w:pPr>
      <w:r w:rsidRPr="003248EB">
        <w:rPr>
          <w:color w:val="808080" w:themeColor="background1" w:themeShade="80"/>
        </w:rPr>
        <w:t xml:space="preserve">last updated </w:t>
      </w:r>
      <w:r>
        <w:rPr>
          <w:color w:val="808080" w:themeColor="background1" w:themeShade="80"/>
        </w:rPr>
        <w:t>15.03.2018</w:t>
      </w:r>
    </w:p>
    <w:sdt>
      <w:sdtPr>
        <w:rPr>
          <w:rFonts w:asciiTheme="minorHAnsi" w:eastAsiaTheme="minorHAnsi" w:hAnsiTheme="minorHAnsi" w:cstheme="minorBidi"/>
          <w:b w:val="0"/>
          <w:bCs w:val="0"/>
          <w:color w:val="auto"/>
          <w:sz w:val="24"/>
          <w:szCs w:val="22"/>
          <w:lang w:eastAsia="en-US"/>
        </w:rPr>
        <w:id w:val="-718587918"/>
        <w:docPartObj>
          <w:docPartGallery w:val="Table of Contents"/>
          <w:docPartUnique/>
        </w:docPartObj>
      </w:sdtPr>
      <w:sdtEndPr>
        <w:rPr>
          <w:noProof/>
        </w:rPr>
      </w:sdtEndPr>
      <w:sdtContent>
        <w:p w:rsidR="00982A38" w:rsidRPr="000C2E97" w:rsidRDefault="00982A38" w:rsidP="00C06CB2">
          <w:pPr>
            <w:pStyle w:val="TOCHeading"/>
            <w:spacing w:line="480" w:lineRule="auto"/>
            <w:rPr>
              <w:rFonts w:asciiTheme="minorHAnsi" w:hAnsiTheme="minorHAnsi"/>
              <w:color w:val="auto"/>
            </w:rPr>
          </w:pPr>
          <w:r w:rsidRPr="000C2E97">
            <w:rPr>
              <w:rFonts w:asciiTheme="minorHAnsi" w:hAnsiTheme="minorHAnsi"/>
              <w:color w:val="auto"/>
            </w:rPr>
            <w:t>Table of contents</w:t>
          </w:r>
        </w:p>
        <w:p w:rsidR="000B55EE" w:rsidRDefault="00982A38" w:rsidP="00C06CB2">
          <w:pPr>
            <w:pStyle w:val="TOC1"/>
            <w:tabs>
              <w:tab w:val="right" w:pos="9350"/>
            </w:tabs>
            <w:jc w:val="left"/>
            <w:rPr>
              <w:rFonts w:eastAsiaTheme="minorEastAsia"/>
              <w:noProof/>
              <w:sz w:val="22"/>
            </w:rPr>
          </w:pPr>
          <w:r w:rsidRPr="000C2E97">
            <w:fldChar w:fldCharType="begin"/>
          </w:r>
          <w:r w:rsidRPr="000C2E97">
            <w:instrText xml:space="preserve"> TOC \o "1-3" \h \z \u </w:instrText>
          </w:r>
          <w:r w:rsidRPr="000C2E97">
            <w:fldChar w:fldCharType="separate"/>
          </w:r>
          <w:hyperlink w:anchor="_Toc508965532" w:history="1">
            <w:r w:rsidR="000B55EE" w:rsidRPr="00DC037D">
              <w:rPr>
                <w:rStyle w:val="Hyperlink"/>
                <w:noProof/>
              </w:rPr>
              <w:t>Table of figures</w:t>
            </w:r>
            <w:r w:rsidR="000B55EE">
              <w:rPr>
                <w:noProof/>
                <w:webHidden/>
              </w:rPr>
              <w:tab/>
            </w:r>
            <w:r w:rsidR="000B55EE">
              <w:rPr>
                <w:noProof/>
                <w:webHidden/>
              </w:rPr>
              <w:fldChar w:fldCharType="begin"/>
            </w:r>
            <w:r w:rsidR="000B55EE">
              <w:rPr>
                <w:noProof/>
                <w:webHidden/>
              </w:rPr>
              <w:instrText xml:space="preserve"> PAGEREF _Toc508965532 \h </w:instrText>
            </w:r>
            <w:r w:rsidR="000B55EE">
              <w:rPr>
                <w:noProof/>
                <w:webHidden/>
              </w:rPr>
            </w:r>
            <w:r w:rsidR="000B55EE">
              <w:rPr>
                <w:noProof/>
                <w:webHidden/>
              </w:rPr>
              <w:fldChar w:fldCharType="separate"/>
            </w:r>
            <w:r w:rsidR="000B55EE">
              <w:rPr>
                <w:noProof/>
                <w:webHidden/>
              </w:rPr>
              <w:t>3</w:t>
            </w:r>
            <w:r w:rsidR="000B55EE">
              <w:rPr>
                <w:noProof/>
                <w:webHidden/>
              </w:rPr>
              <w:fldChar w:fldCharType="end"/>
            </w:r>
          </w:hyperlink>
        </w:p>
        <w:p w:rsidR="000B55EE" w:rsidRDefault="000B55EE" w:rsidP="00C06CB2">
          <w:pPr>
            <w:pStyle w:val="TOC1"/>
            <w:tabs>
              <w:tab w:val="right" w:pos="9350"/>
            </w:tabs>
            <w:jc w:val="left"/>
            <w:rPr>
              <w:rFonts w:eastAsiaTheme="minorEastAsia"/>
              <w:noProof/>
              <w:sz w:val="22"/>
            </w:rPr>
          </w:pPr>
          <w:hyperlink w:anchor="_Toc508965533" w:history="1">
            <w:r w:rsidRPr="00DC037D">
              <w:rPr>
                <w:rStyle w:val="Hyperlink"/>
                <w:noProof/>
              </w:rPr>
              <w:t>Abbreviations</w:t>
            </w:r>
            <w:r>
              <w:rPr>
                <w:noProof/>
                <w:webHidden/>
              </w:rPr>
              <w:tab/>
            </w:r>
            <w:r>
              <w:rPr>
                <w:noProof/>
                <w:webHidden/>
              </w:rPr>
              <w:fldChar w:fldCharType="begin"/>
            </w:r>
            <w:r>
              <w:rPr>
                <w:noProof/>
                <w:webHidden/>
              </w:rPr>
              <w:instrText xml:space="preserve"> PAGEREF _Toc508965533 \h </w:instrText>
            </w:r>
            <w:r>
              <w:rPr>
                <w:noProof/>
                <w:webHidden/>
              </w:rPr>
            </w:r>
            <w:r>
              <w:rPr>
                <w:noProof/>
                <w:webHidden/>
              </w:rPr>
              <w:fldChar w:fldCharType="separate"/>
            </w:r>
            <w:r>
              <w:rPr>
                <w:noProof/>
                <w:webHidden/>
              </w:rPr>
              <w:t>3</w:t>
            </w:r>
            <w:r>
              <w:rPr>
                <w:noProof/>
                <w:webHidden/>
              </w:rPr>
              <w:fldChar w:fldCharType="end"/>
            </w:r>
          </w:hyperlink>
        </w:p>
        <w:p w:rsidR="000B55EE" w:rsidRDefault="000B55EE" w:rsidP="00C06CB2">
          <w:pPr>
            <w:pStyle w:val="TOC1"/>
            <w:tabs>
              <w:tab w:val="right" w:pos="9350"/>
            </w:tabs>
            <w:jc w:val="left"/>
            <w:rPr>
              <w:rFonts w:eastAsiaTheme="minorEastAsia"/>
              <w:noProof/>
              <w:sz w:val="22"/>
            </w:rPr>
          </w:pPr>
          <w:hyperlink w:anchor="_Toc508965534" w:history="1">
            <w:r w:rsidRPr="00DC037D">
              <w:rPr>
                <w:rStyle w:val="Hyperlink"/>
                <w:noProof/>
              </w:rPr>
              <w:t>General description</w:t>
            </w:r>
            <w:r>
              <w:rPr>
                <w:noProof/>
                <w:webHidden/>
              </w:rPr>
              <w:tab/>
            </w:r>
            <w:r>
              <w:rPr>
                <w:noProof/>
                <w:webHidden/>
              </w:rPr>
              <w:fldChar w:fldCharType="begin"/>
            </w:r>
            <w:r>
              <w:rPr>
                <w:noProof/>
                <w:webHidden/>
              </w:rPr>
              <w:instrText xml:space="preserve"> PAGEREF _Toc508965534 \h </w:instrText>
            </w:r>
            <w:r>
              <w:rPr>
                <w:noProof/>
                <w:webHidden/>
              </w:rPr>
            </w:r>
            <w:r>
              <w:rPr>
                <w:noProof/>
                <w:webHidden/>
              </w:rPr>
              <w:fldChar w:fldCharType="separate"/>
            </w:r>
            <w:r>
              <w:rPr>
                <w:noProof/>
                <w:webHidden/>
              </w:rPr>
              <w:t>4</w:t>
            </w:r>
            <w:r>
              <w:rPr>
                <w:noProof/>
                <w:webHidden/>
              </w:rPr>
              <w:fldChar w:fldCharType="end"/>
            </w:r>
          </w:hyperlink>
        </w:p>
        <w:p w:rsidR="000B55EE" w:rsidRDefault="000B55EE" w:rsidP="00C06CB2">
          <w:pPr>
            <w:pStyle w:val="TOC1"/>
            <w:tabs>
              <w:tab w:val="right" w:pos="9350"/>
            </w:tabs>
            <w:jc w:val="left"/>
            <w:rPr>
              <w:rFonts w:eastAsiaTheme="minorEastAsia"/>
              <w:noProof/>
              <w:sz w:val="22"/>
            </w:rPr>
          </w:pPr>
          <w:hyperlink w:anchor="_Toc508965535" w:history="1">
            <w:r w:rsidRPr="00DC037D">
              <w:rPr>
                <w:rStyle w:val="Hyperlink"/>
                <w:noProof/>
              </w:rPr>
              <w:t>File organization and naming conventions</w:t>
            </w:r>
            <w:r>
              <w:rPr>
                <w:noProof/>
                <w:webHidden/>
              </w:rPr>
              <w:tab/>
            </w:r>
            <w:r>
              <w:rPr>
                <w:noProof/>
                <w:webHidden/>
              </w:rPr>
              <w:fldChar w:fldCharType="begin"/>
            </w:r>
            <w:r>
              <w:rPr>
                <w:noProof/>
                <w:webHidden/>
              </w:rPr>
              <w:instrText xml:space="preserve"> PAGEREF _Toc508965535 \h </w:instrText>
            </w:r>
            <w:r>
              <w:rPr>
                <w:noProof/>
                <w:webHidden/>
              </w:rPr>
            </w:r>
            <w:r>
              <w:rPr>
                <w:noProof/>
                <w:webHidden/>
              </w:rPr>
              <w:fldChar w:fldCharType="separate"/>
            </w:r>
            <w:r>
              <w:rPr>
                <w:noProof/>
                <w:webHidden/>
              </w:rPr>
              <w:t>6</w:t>
            </w:r>
            <w:r>
              <w:rPr>
                <w:noProof/>
                <w:webHidden/>
              </w:rPr>
              <w:fldChar w:fldCharType="end"/>
            </w:r>
          </w:hyperlink>
        </w:p>
        <w:p w:rsidR="00982A38" w:rsidRPr="000C2E97" w:rsidRDefault="00982A38" w:rsidP="00C06CB2">
          <w:pPr>
            <w:jc w:val="left"/>
          </w:pPr>
          <w:r w:rsidRPr="000C2E97">
            <w:rPr>
              <w:b/>
              <w:bCs/>
              <w:noProof/>
            </w:rPr>
            <w:fldChar w:fldCharType="end"/>
          </w:r>
        </w:p>
      </w:sdtContent>
    </w:sdt>
    <w:p w:rsidR="00982A38" w:rsidRPr="000C2E97" w:rsidRDefault="00982A38" w:rsidP="00C06CB2">
      <w:pPr>
        <w:jc w:val="left"/>
      </w:pPr>
    </w:p>
    <w:p w:rsidR="00982A38" w:rsidRPr="000C2E97" w:rsidRDefault="00982A38" w:rsidP="00C06CB2">
      <w:pPr>
        <w:pStyle w:val="Heading1"/>
        <w:jc w:val="left"/>
      </w:pPr>
      <w:bookmarkStart w:id="0" w:name="_Toc508965532"/>
      <w:r w:rsidRPr="000C2E97">
        <w:t>Table of figures</w:t>
      </w:r>
      <w:bookmarkEnd w:id="0"/>
    </w:p>
    <w:p w:rsidR="000B55EE" w:rsidRDefault="00982A38" w:rsidP="00C06CB2">
      <w:pPr>
        <w:pStyle w:val="TableofFigures"/>
        <w:tabs>
          <w:tab w:val="right" w:pos="9350"/>
        </w:tabs>
        <w:jc w:val="left"/>
        <w:rPr>
          <w:rFonts w:eastAsiaTheme="minorEastAsia"/>
          <w:noProof/>
          <w:sz w:val="22"/>
        </w:rPr>
      </w:pPr>
      <w:r w:rsidRPr="000C2E97">
        <w:fldChar w:fldCharType="begin"/>
      </w:r>
      <w:r w:rsidRPr="000C2E97">
        <w:instrText xml:space="preserve"> TOC \h \z \c "Figure" </w:instrText>
      </w:r>
      <w:r w:rsidRPr="000C2E97">
        <w:fldChar w:fldCharType="separate"/>
      </w:r>
      <w:hyperlink w:anchor="_Toc508965564" w:history="1">
        <w:r w:rsidR="000B55EE" w:rsidRPr="00213608">
          <w:rPr>
            <w:rStyle w:val="Hyperlink"/>
            <w:b/>
            <w:noProof/>
          </w:rPr>
          <w:t>Figure 1</w:t>
        </w:r>
        <w:r w:rsidR="000B55EE" w:rsidRPr="00213608">
          <w:rPr>
            <w:rStyle w:val="Hyperlink"/>
            <w:noProof/>
          </w:rPr>
          <w:t xml:space="preserve"> - General description of work- and data-flows.</w:t>
        </w:r>
        <w:r w:rsidR="000B55EE">
          <w:rPr>
            <w:noProof/>
            <w:webHidden/>
          </w:rPr>
          <w:tab/>
        </w:r>
        <w:r w:rsidR="000B55EE">
          <w:rPr>
            <w:noProof/>
            <w:webHidden/>
          </w:rPr>
          <w:fldChar w:fldCharType="begin"/>
        </w:r>
        <w:r w:rsidR="000B55EE">
          <w:rPr>
            <w:noProof/>
            <w:webHidden/>
          </w:rPr>
          <w:instrText xml:space="preserve"> PAGEREF _Toc508965564 \h </w:instrText>
        </w:r>
        <w:r w:rsidR="000B55EE">
          <w:rPr>
            <w:noProof/>
            <w:webHidden/>
          </w:rPr>
        </w:r>
        <w:r w:rsidR="000B55EE">
          <w:rPr>
            <w:noProof/>
            <w:webHidden/>
          </w:rPr>
          <w:fldChar w:fldCharType="separate"/>
        </w:r>
        <w:r w:rsidR="000B55EE">
          <w:rPr>
            <w:noProof/>
            <w:webHidden/>
          </w:rPr>
          <w:t>5</w:t>
        </w:r>
        <w:r w:rsidR="000B55EE">
          <w:rPr>
            <w:noProof/>
            <w:webHidden/>
          </w:rPr>
          <w:fldChar w:fldCharType="end"/>
        </w:r>
      </w:hyperlink>
    </w:p>
    <w:p w:rsidR="00982A38" w:rsidRPr="000C2E97" w:rsidRDefault="00982A38" w:rsidP="00C06CB2">
      <w:pPr>
        <w:jc w:val="left"/>
      </w:pPr>
      <w:r w:rsidRPr="000C2E97">
        <w:fldChar w:fldCharType="end"/>
      </w:r>
    </w:p>
    <w:p w:rsidR="00982A38" w:rsidRPr="000C2E97" w:rsidRDefault="00982A38" w:rsidP="00C06CB2">
      <w:pPr>
        <w:jc w:val="left"/>
      </w:pPr>
    </w:p>
    <w:p w:rsidR="00982A38" w:rsidRPr="000C2E97" w:rsidRDefault="00982A38" w:rsidP="00C06CB2">
      <w:pPr>
        <w:pStyle w:val="Heading1"/>
        <w:jc w:val="left"/>
      </w:pPr>
      <w:bookmarkStart w:id="1" w:name="_Toc492131221"/>
      <w:bookmarkStart w:id="2" w:name="_Toc508965533"/>
      <w:r w:rsidRPr="000C2E97">
        <w:t>Abbreviations</w:t>
      </w:r>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790"/>
        <w:gridCol w:w="6422"/>
      </w:tblGrid>
      <w:tr w:rsidR="003665DA" w:rsidRPr="000C2E97" w:rsidTr="00982A38">
        <w:tc>
          <w:tcPr>
            <w:tcW w:w="2790" w:type="dxa"/>
          </w:tcPr>
          <w:p w:rsidR="003665DA" w:rsidRPr="000C2E97" w:rsidRDefault="003665DA" w:rsidP="00C06CB2">
            <w:pPr>
              <w:spacing w:after="0" w:line="240" w:lineRule="auto"/>
              <w:jc w:val="left"/>
            </w:pPr>
            <w:r>
              <w:t>ACC</w:t>
            </w:r>
          </w:p>
        </w:tc>
        <w:tc>
          <w:tcPr>
            <w:tcW w:w="6422" w:type="dxa"/>
          </w:tcPr>
          <w:p w:rsidR="003665DA" w:rsidRPr="000C2E97" w:rsidRDefault="003665DA" w:rsidP="00C06CB2">
            <w:pPr>
              <w:spacing w:after="0" w:line="240" w:lineRule="auto"/>
              <w:jc w:val="left"/>
            </w:pPr>
            <w:r>
              <w:t>Anterior Cingulate Cortex</w:t>
            </w:r>
          </w:p>
        </w:tc>
      </w:tr>
      <w:tr w:rsidR="003665DA" w:rsidRPr="000C2E97" w:rsidTr="00982A38">
        <w:tc>
          <w:tcPr>
            <w:tcW w:w="2790" w:type="dxa"/>
          </w:tcPr>
          <w:p w:rsidR="003665DA" w:rsidRPr="000C2E97" w:rsidRDefault="003665DA" w:rsidP="00C06CB2">
            <w:pPr>
              <w:spacing w:after="0" w:line="240" w:lineRule="auto"/>
              <w:jc w:val="left"/>
            </w:pPr>
            <w:r>
              <w:t>CatrWf</w:t>
            </w:r>
          </w:p>
        </w:tc>
        <w:tc>
          <w:tcPr>
            <w:tcW w:w="6422" w:type="dxa"/>
          </w:tcPr>
          <w:p w:rsidR="003665DA" w:rsidRPr="000C2E97" w:rsidRDefault="003665DA" w:rsidP="00C06CB2">
            <w:pPr>
              <w:spacing w:after="0" w:line="240" w:lineRule="auto"/>
              <w:jc w:val="left"/>
            </w:pPr>
            <w:r>
              <w:t>Calcium trace extraction workflow</w:t>
            </w:r>
          </w:p>
        </w:tc>
      </w:tr>
      <w:tr w:rsidR="00012CFF" w:rsidRPr="000C2E97" w:rsidTr="00982A38">
        <w:tc>
          <w:tcPr>
            <w:tcW w:w="2790" w:type="dxa"/>
          </w:tcPr>
          <w:p w:rsidR="00012CFF" w:rsidRDefault="00012CFF" w:rsidP="00C06CB2">
            <w:pPr>
              <w:spacing w:after="0" w:line="240" w:lineRule="auto"/>
              <w:jc w:val="left"/>
            </w:pPr>
            <w:r>
              <w:t>GUI</w:t>
            </w:r>
          </w:p>
        </w:tc>
        <w:tc>
          <w:tcPr>
            <w:tcW w:w="6422" w:type="dxa"/>
          </w:tcPr>
          <w:p w:rsidR="00012CFF" w:rsidRDefault="00012CFF" w:rsidP="00C06CB2">
            <w:pPr>
              <w:spacing w:after="0" w:line="240" w:lineRule="auto"/>
              <w:jc w:val="left"/>
            </w:pPr>
            <w:r>
              <w:t>Graphical user interface</w:t>
            </w:r>
          </w:p>
        </w:tc>
      </w:tr>
      <w:tr w:rsidR="003665DA" w:rsidRPr="000C2E97" w:rsidTr="00982A38">
        <w:tc>
          <w:tcPr>
            <w:tcW w:w="2790" w:type="dxa"/>
          </w:tcPr>
          <w:p w:rsidR="003665DA" w:rsidRPr="000C2E97" w:rsidRDefault="003665DA" w:rsidP="00C06CB2">
            <w:pPr>
              <w:spacing w:after="0" w:line="240" w:lineRule="auto"/>
              <w:jc w:val="left"/>
            </w:pPr>
            <w:r>
              <w:t>MetaWf</w:t>
            </w:r>
          </w:p>
        </w:tc>
        <w:tc>
          <w:tcPr>
            <w:tcW w:w="6422" w:type="dxa"/>
          </w:tcPr>
          <w:p w:rsidR="003665DA" w:rsidRPr="000C2E97" w:rsidRDefault="003665DA" w:rsidP="00C06CB2">
            <w:pPr>
              <w:spacing w:after="0" w:line="240" w:lineRule="auto"/>
              <w:jc w:val="left"/>
            </w:pPr>
            <w:r>
              <w:t>Metadata workflow</w:t>
            </w:r>
          </w:p>
        </w:tc>
      </w:tr>
      <w:tr w:rsidR="003665DA" w:rsidRPr="000C2E97" w:rsidTr="00982A38">
        <w:tc>
          <w:tcPr>
            <w:tcW w:w="2790" w:type="dxa"/>
          </w:tcPr>
          <w:p w:rsidR="003665DA" w:rsidRPr="000C2E97" w:rsidRDefault="003665DA" w:rsidP="00C06CB2">
            <w:pPr>
              <w:spacing w:after="0" w:line="240" w:lineRule="auto"/>
              <w:jc w:val="left"/>
            </w:pPr>
            <w:r>
              <w:t>NumWf</w:t>
            </w:r>
          </w:p>
        </w:tc>
        <w:tc>
          <w:tcPr>
            <w:tcW w:w="6422" w:type="dxa"/>
          </w:tcPr>
          <w:p w:rsidR="003665DA" w:rsidRPr="000C2E97" w:rsidRDefault="003665DA" w:rsidP="00C06CB2">
            <w:pPr>
              <w:spacing w:after="0" w:line="240" w:lineRule="auto"/>
              <w:jc w:val="left"/>
            </w:pPr>
            <w:r>
              <w:t>Numerical analysis workflow</w:t>
            </w:r>
          </w:p>
        </w:tc>
      </w:tr>
      <w:tr w:rsidR="003665DA" w:rsidRPr="000C2E97" w:rsidTr="00982A38">
        <w:tc>
          <w:tcPr>
            <w:tcW w:w="2790" w:type="dxa"/>
          </w:tcPr>
          <w:p w:rsidR="003665DA" w:rsidRPr="000C2E97" w:rsidRDefault="003665DA" w:rsidP="00C06CB2">
            <w:pPr>
              <w:spacing w:after="0" w:line="240" w:lineRule="auto"/>
              <w:jc w:val="left"/>
            </w:pPr>
            <w:r>
              <w:t>PrepWf</w:t>
            </w:r>
          </w:p>
        </w:tc>
        <w:tc>
          <w:tcPr>
            <w:tcW w:w="6422" w:type="dxa"/>
          </w:tcPr>
          <w:p w:rsidR="003665DA" w:rsidRPr="000C2E97" w:rsidRDefault="003665DA" w:rsidP="00C06CB2">
            <w:pPr>
              <w:spacing w:after="0" w:line="240" w:lineRule="auto"/>
              <w:jc w:val="left"/>
            </w:pPr>
            <w:r>
              <w:t>Preprocessing workflow</w:t>
            </w:r>
          </w:p>
        </w:tc>
      </w:tr>
      <w:tr w:rsidR="003665DA" w:rsidRPr="000C2E97" w:rsidTr="00982A38">
        <w:tc>
          <w:tcPr>
            <w:tcW w:w="2790" w:type="dxa"/>
          </w:tcPr>
          <w:p w:rsidR="003665DA" w:rsidRPr="000C2E97" w:rsidRDefault="003665DA" w:rsidP="00C06CB2">
            <w:pPr>
              <w:spacing w:after="0" w:line="240" w:lineRule="auto"/>
              <w:jc w:val="left"/>
            </w:pPr>
            <w:r>
              <w:t>Two-photon imaging</w:t>
            </w:r>
          </w:p>
        </w:tc>
        <w:tc>
          <w:tcPr>
            <w:tcW w:w="6422" w:type="dxa"/>
          </w:tcPr>
          <w:p w:rsidR="003665DA" w:rsidRPr="000C2E97" w:rsidRDefault="003665DA" w:rsidP="00C06CB2">
            <w:pPr>
              <w:spacing w:after="0" w:line="240" w:lineRule="auto"/>
              <w:jc w:val="left"/>
            </w:pPr>
            <w:r>
              <w:t>2PI</w:t>
            </w:r>
          </w:p>
        </w:tc>
      </w:tr>
    </w:tbl>
    <w:p w:rsidR="00982A38" w:rsidRPr="000C2E97" w:rsidRDefault="00982A38" w:rsidP="00C06CB2">
      <w:pPr>
        <w:jc w:val="left"/>
      </w:pPr>
      <w:r w:rsidRPr="000C2E97">
        <w:br w:type="page"/>
      </w:r>
    </w:p>
    <w:p w:rsidR="00982A38" w:rsidRPr="000C2E97" w:rsidRDefault="00982A38" w:rsidP="00C06CB2">
      <w:pPr>
        <w:pStyle w:val="Heading1"/>
        <w:jc w:val="left"/>
      </w:pPr>
      <w:bookmarkStart w:id="3" w:name="_Toc492131222"/>
      <w:bookmarkStart w:id="4" w:name="_Toc508965534"/>
      <w:r w:rsidRPr="000C2E97">
        <w:lastRenderedPageBreak/>
        <w:t>General description</w:t>
      </w:r>
      <w:bookmarkEnd w:id="3"/>
      <w:bookmarkEnd w:id="4"/>
    </w:p>
    <w:p w:rsidR="00012CFF" w:rsidRDefault="002F28EE" w:rsidP="00C06CB2">
      <w:pPr>
        <w:jc w:val="left"/>
      </w:pPr>
      <w:r>
        <w:t xml:space="preserve">Calcium transients recorded from two-photon imaging recordings can be detected and separated for regions of interest using a series of workflows which work in sequence, with optional manual refinement </w:t>
      </w:r>
      <w:r w:rsidR="00982A38" w:rsidRPr="000C2E97">
        <w:t>(</w:t>
      </w:r>
      <w:hyperlink w:anchor="Figure_1" w:history="1">
        <w:r w:rsidR="00982A38" w:rsidRPr="000C2E97">
          <w:rPr>
            <w:rStyle w:val="Hyperlink"/>
          </w:rPr>
          <w:t>Fig</w:t>
        </w:r>
        <w:r w:rsidR="00982A38" w:rsidRPr="000C2E97">
          <w:rPr>
            <w:rStyle w:val="Hyperlink"/>
          </w:rPr>
          <w:t>.</w:t>
        </w:r>
        <w:r w:rsidR="00982A38" w:rsidRPr="000C2E97">
          <w:rPr>
            <w:rStyle w:val="Hyperlink"/>
          </w:rPr>
          <w:t xml:space="preserve"> </w:t>
        </w:r>
        <w:r w:rsidR="00982A38" w:rsidRPr="000C2E97">
          <w:rPr>
            <w:rStyle w:val="Hyperlink"/>
          </w:rPr>
          <w:t>1</w:t>
        </w:r>
      </w:hyperlink>
      <w:r w:rsidR="00012CFF">
        <w:t>), as follows:</w:t>
      </w:r>
    </w:p>
    <w:p w:rsidR="00012CFF" w:rsidRDefault="00012CFF" w:rsidP="00C06CB2">
      <w:pPr>
        <w:pStyle w:val="ListParagraph"/>
        <w:numPr>
          <w:ilvl w:val="0"/>
          <w:numId w:val="1"/>
        </w:numPr>
        <w:ind w:left="360"/>
        <w:jc w:val="left"/>
      </w:pPr>
      <w:r>
        <w:t>The Metadata workflow (</w:t>
      </w:r>
      <w:r>
        <w:t>MetaWf</w:t>
      </w:r>
      <w:r>
        <w:t>) writes information on the imaging sessions to a SQL database, which all the other workflows will use to interact with the data.</w:t>
      </w:r>
    </w:p>
    <w:p w:rsidR="00012CFF" w:rsidRDefault="00012CFF" w:rsidP="00C06CB2">
      <w:pPr>
        <w:pStyle w:val="ListParagraph"/>
        <w:numPr>
          <w:ilvl w:val="0"/>
          <w:numId w:val="1"/>
        </w:numPr>
        <w:ind w:left="360"/>
        <w:jc w:val="left"/>
      </w:pPr>
      <w:r>
        <w:t>The Preprocessing workflow (PrepWf) stacks all the imaging sessions in one pile, and removes frame distortions due to bidirectional scanning and misalignment between frames due to tissue movement. PrepWf also performs automatic segmentation of the image to identify clear ROIs.</w:t>
      </w:r>
    </w:p>
    <w:p w:rsidR="00E04825" w:rsidRDefault="00012CFF" w:rsidP="00C06CB2">
      <w:pPr>
        <w:pStyle w:val="ListParagraph"/>
        <w:numPr>
          <w:ilvl w:val="0"/>
          <w:numId w:val="1"/>
        </w:numPr>
        <w:ind w:left="360"/>
        <w:jc w:val="left"/>
      </w:pPr>
      <w:r>
        <w:t>A manual segmentation step allows the experimenter to add and delete ROIs to the segmentation mask. All operations are performed in a GUI</w:t>
      </w:r>
      <w:r w:rsidR="00E04825">
        <w:t xml:space="preserve"> where different algorithms allow the user to select many ROIs at once with a single click. Optionally, the user can draw an ROI manually.</w:t>
      </w:r>
    </w:p>
    <w:p w:rsidR="00E04825" w:rsidRDefault="00E04825" w:rsidP="00C06CB2">
      <w:pPr>
        <w:pStyle w:val="ListParagraph"/>
        <w:numPr>
          <w:ilvl w:val="0"/>
          <w:numId w:val="1"/>
        </w:numPr>
        <w:ind w:left="360"/>
        <w:jc w:val="left"/>
      </w:pPr>
      <w:r>
        <w:t>The Calcium trace workflow applies the segmentation mask to all the motion-corrected data and extracts the mean fluorescence value in each ROI and frame. These traces are then stored on the server. Additional routines calculate the relative change in fluorescence (</w:t>
      </w:r>
      <w:r>
        <w:rPr>
          <w:rFonts w:cstheme="minorHAnsi"/>
        </w:rPr>
        <w:t>Δ</w:t>
      </w:r>
      <w:r>
        <w:t>F/F) and infer the underlying spiking activity</w:t>
      </w:r>
      <w:r w:rsidR="00376CB2">
        <w:t xml:space="preserve"> which generated the observed calcium transients.</w:t>
      </w:r>
    </w:p>
    <w:p w:rsidR="00376CB2" w:rsidRDefault="00376CB2" w:rsidP="00C06CB2">
      <w:pPr>
        <w:pStyle w:val="ListParagraph"/>
        <w:numPr>
          <w:ilvl w:val="0"/>
          <w:numId w:val="1"/>
        </w:numPr>
        <w:ind w:left="360"/>
        <w:jc w:val="left"/>
      </w:pPr>
      <w:r>
        <w:t xml:space="preserve">The </w:t>
      </w:r>
      <w:r>
        <w:t>Numerical analysis workflow</w:t>
      </w:r>
      <w:r>
        <w:t xml:space="preserve"> (</w:t>
      </w:r>
      <w:r>
        <w:t>NumWf</w:t>
      </w:r>
      <w:r>
        <w:t>) contains a series of routines to calculate the response in each ROI to a presented stimulus, the degree of synchrony between ROIs, and so forth.</w:t>
      </w:r>
    </w:p>
    <w:p w:rsidR="00CE56BA" w:rsidRDefault="00376CB2" w:rsidP="00C06CB2">
      <w:pPr>
        <w:jc w:val="left"/>
      </w:pPr>
      <w:r>
        <w:t>All the data used by these workflow is stored on the department’s server (GroupNevian4 at the moment of writing), and all the metadata of each imaging session in the MySQL database “neviandb2” stored on the server.</w:t>
      </w:r>
    </w:p>
    <w:p w:rsidR="00376CB2" w:rsidRPr="000C2E97" w:rsidRDefault="00376CB2" w:rsidP="00C06CB2">
      <w:pPr>
        <w:jc w:val="left"/>
      </w:pPr>
      <w:r>
        <w:t>The codebase is written in MATLAB 2017b.</w:t>
      </w:r>
    </w:p>
    <w:p w:rsidR="00CE56BA" w:rsidRPr="000C2E97" w:rsidRDefault="00CE56BA" w:rsidP="002602AF">
      <w:pPr>
        <w:keepNext/>
        <w:jc w:val="center"/>
      </w:pPr>
      <w:bookmarkStart w:id="5" w:name="Figure_1"/>
      <w:r w:rsidRPr="000C2E97">
        <w:rPr>
          <w:noProof/>
        </w:rPr>
        <w:lastRenderedPageBreak/>
        <w:drawing>
          <wp:inline distT="0" distB="0" distL="0" distR="0" wp14:anchorId="4B739BB4" wp14:editId="2D2917E4">
            <wp:extent cx="4895850" cy="35788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5052" cy="3592850"/>
                    </a:xfrm>
                    <a:prstGeom prst="rect">
                      <a:avLst/>
                    </a:prstGeom>
                  </pic:spPr>
                </pic:pic>
              </a:graphicData>
            </a:graphic>
          </wp:inline>
        </w:drawing>
      </w:r>
      <w:bookmarkEnd w:id="5"/>
    </w:p>
    <w:p w:rsidR="00CE56BA" w:rsidRPr="000C2E97" w:rsidRDefault="00CE56BA" w:rsidP="002602AF">
      <w:pPr>
        <w:pStyle w:val="captiontitle"/>
      </w:pPr>
      <w:bookmarkStart w:id="6" w:name="_Toc508965564"/>
      <w:r w:rsidRPr="000A1B96">
        <w:rPr>
          <w:b/>
        </w:rPr>
        <w:t xml:space="preserve">Figure </w:t>
      </w:r>
      <w:r w:rsidRPr="000A1B96">
        <w:rPr>
          <w:b/>
        </w:rPr>
        <w:fldChar w:fldCharType="begin"/>
      </w:r>
      <w:r w:rsidRPr="000A1B96">
        <w:rPr>
          <w:b/>
        </w:rPr>
        <w:instrText xml:space="preserve"> SEQ Figure \* ARABIC </w:instrText>
      </w:r>
      <w:r w:rsidRPr="000A1B96">
        <w:rPr>
          <w:b/>
        </w:rPr>
        <w:fldChar w:fldCharType="separate"/>
      </w:r>
      <w:r w:rsidR="00617F5F">
        <w:rPr>
          <w:b/>
          <w:noProof/>
        </w:rPr>
        <w:t>1</w:t>
      </w:r>
      <w:r w:rsidRPr="000A1B96">
        <w:rPr>
          <w:b/>
        </w:rPr>
        <w:fldChar w:fldCharType="end"/>
      </w:r>
      <w:r w:rsidRPr="000C2E97">
        <w:t xml:space="preserve"> - General description of work- and data-flow</w:t>
      </w:r>
      <w:r w:rsidR="000B55EE">
        <w:t>s</w:t>
      </w:r>
      <w:r>
        <w:t>.</w:t>
      </w:r>
      <w:bookmarkEnd w:id="6"/>
    </w:p>
    <w:p w:rsidR="00CE56BA" w:rsidRPr="000C2E97" w:rsidRDefault="000B55EE" w:rsidP="002602AF">
      <w:pPr>
        <w:pStyle w:val="Caption1"/>
      </w:pPr>
      <w:r>
        <w:t>All workflows read from, and most also write to, the SQL database</w:t>
      </w:r>
      <w:r w:rsidR="00CE56BA" w:rsidRPr="000C2E97">
        <w:t>.</w:t>
      </w:r>
      <w:r>
        <w:t xml:space="preserve"> Workflows are supposed to be run in sequence, from 1 to 5, although step 3 is optional. Bi-directional arrows indicate that data is also written back to the server, but in a different folder.</w:t>
      </w:r>
    </w:p>
    <w:p w:rsidR="000B55EE" w:rsidRDefault="000B55EE" w:rsidP="00C06CB2">
      <w:pPr>
        <w:spacing w:after="160" w:line="259" w:lineRule="auto"/>
        <w:jc w:val="left"/>
      </w:pPr>
      <w:r>
        <w:br w:type="page"/>
      </w:r>
    </w:p>
    <w:p w:rsidR="00CE56BA" w:rsidRDefault="000B55EE" w:rsidP="00C06CB2">
      <w:pPr>
        <w:pStyle w:val="Heading1"/>
        <w:jc w:val="left"/>
      </w:pPr>
      <w:bookmarkStart w:id="7" w:name="_Toc508965535"/>
      <w:r>
        <w:lastRenderedPageBreak/>
        <w:t>File organization and naming convention</w:t>
      </w:r>
      <w:bookmarkEnd w:id="7"/>
    </w:p>
    <w:p w:rsidR="000B55EE" w:rsidRDefault="00AF457F" w:rsidP="00C06CB2">
      <w:pPr>
        <w:jc w:val="left"/>
      </w:pPr>
      <w:r>
        <w:t xml:space="preserve">Imaging sessions are stored in files with extension .tif (TIFF files). TIFF files can be named freely, but </w:t>
      </w:r>
      <w:r w:rsidR="000527C9">
        <w:t xml:space="preserve">their name </w:t>
      </w:r>
      <w:r>
        <w:t>should not contain spaces</w:t>
      </w:r>
      <w:r w:rsidR="00C06CB2">
        <w:t>. TIFF files must be stored in</w:t>
      </w:r>
      <w:r w:rsidR="006B3562">
        <w:t xml:space="preserve"> the folder \</w:t>
      </w:r>
      <w:r w:rsidR="00C06CB2" w:rsidRPr="00C06CB2">
        <w:t>2p_imaging_pain\1_raw_tiff</w:t>
      </w:r>
      <w:r w:rsidR="006B3562">
        <w:t xml:space="preserve">\ on the shared drive GoupNevian4. Within this folder the experimenter has to create a subfolder indicating when the data was acquired according to the format YYMMDD, e.g., </w:t>
      </w:r>
      <w:r w:rsidR="000879A3">
        <w:t>170615</w:t>
      </w:r>
      <w:r w:rsidR="006B3562">
        <w:t xml:space="preserve"> for </w:t>
      </w:r>
      <w:r w:rsidR="000879A3">
        <w:t>15</w:t>
      </w:r>
      <w:r w:rsidR="006B3562">
        <w:t xml:space="preserve"> J</w:t>
      </w:r>
      <w:r w:rsidR="000879A3">
        <w:t>une 2017</w:t>
      </w:r>
      <w:r w:rsidR="006B3562">
        <w:t>. Inside this folder, there should be another folder indicating the name of the imaged animal as reported in official documents, e.g., I2_1. This folder must contain all TIFF files for that animal and date, regardless of experimental protocol and whether the researcher counts to u</w:t>
      </w:r>
      <w:r w:rsidR="000879A3">
        <w:t xml:space="preserve">se them or not for the analysis. An example is reported in </w:t>
      </w:r>
      <w:hyperlink w:anchor="Figure_2" w:history="1">
        <w:r w:rsidR="000879A3" w:rsidRPr="00617F5F">
          <w:rPr>
            <w:rStyle w:val="Hyperlink"/>
          </w:rPr>
          <w:t>Fig. 2</w:t>
        </w:r>
      </w:hyperlink>
      <w:r w:rsidR="000879A3">
        <w:t>.</w:t>
      </w:r>
    </w:p>
    <w:p w:rsidR="00617F5F" w:rsidRDefault="000879A3" w:rsidP="00617F5F">
      <w:pPr>
        <w:keepNext/>
        <w:jc w:val="center"/>
      </w:pPr>
      <w:bookmarkStart w:id="8" w:name="Figure_2"/>
      <w:r>
        <w:rPr>
          <w:noProof/>
        </w:rPr>
        <w:drawing>
          <wp:inline distT="0" distB="0" distL="0" distR="0" wp14:anchorId="7651FEB8" wp14:editId="5EEA4FCF">
            <wp:extent cx="3365194" cy="3575050"/>
            <wp:effectExtent l="0" t="0" r="698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0818" cy="3634143"/>
                    </a:xfrm>
                    <a:prstGeom prst="rect">
                      <a:avLst/>
                    </a:prstGeom>
                  </pic:spPr>
                </pic:pic>
              </a:graphicData>
            </a:graphic>
          </wp:inline>
        </w:drawing>
      </w:r>
      <w:bookmarkEnd w:id="8"/>
    </w:p>
    <w:p w:rsidR="000879A3" w:rsidRPr="00617F5F" w:rsidRDefault="00617F5F" w:rsidP="00617F5F">
      <w:pPr>
        <w:pStyle w:val="Caption"/>
        <w:jc w:val="center"/>
        <w:rPr>
          <w:b/>
          <w:i w:val="0"/>
        </w:rPr>
      </w:pPr>
      <w:r w:rsidRPr="00617F5F">
        <w:rPr>
          <w:b/>
          <w:i w:val="0"/>
        </w:rPr>
        <w:t xml:space="preserve">Figure </w:t>
      </w:r>
      <w:r w:rsidRPr="00617F5F">
        <w:rPr>
          <w:b/>
          <w:i w:val="0"/>
        </w:rPr>
        <w:fldChar w:fldCharType="begin"/>
      </w:r>
      <w:r w:rsidRPr="00617F5F">
        <w:rPr>
          <w:b/>
          <w:i w:val="0"/>
        </w:rPr>
        <w:instrText xml:space="preserve"> SEQ Figure \* ARABIC </w:instrText>
      </w:r>
      <w:r w:rsidRPr="00617F5F">
        <w:rPr>
          <w:b/>
          <w:i w:val="0"/>
        </w:rPr>
        <w:fldChar w:fldCharType="separate"/>
      </w:r>
      <w:r w:rsidRPr="00617F5F">
        <w:rPr>
          <w:b/>
          <w:i w:val="0"/>
          <w:noProof/>
        </w:rPr>
        <w:t>2</w:t>
      </w:r>
      <w:r w:rsidRPr="00617F5F">
        <w:rPr>
          <w:b/>
          <w:i w:val="0"/>
        </w:rPr>
        <w:fldChar w:fldCharType="end"/>
      </w:r>
      <w:r w:rsidRPr="00617F5F">
        <w:rPr>
          <w:b/>
          <w:i w:val="0"/>
        </w:rPr>
        <w:t xml:space="preserve"> - </w:t>
      </w:r>
      <w:bookmarkStart w:id="9" w:name="_GoBack"/>
      <w:bookmarkEnd w:id="9"/>
    </w:p>
    <w:p w:rsidR="00617F5F" w:rsidRPr="000B55EE" w:rsidRDefault="00617F5F" w:rsidP="00617F5F">
      <w:pPr>
        <w:pStyle w:val="captiontitle"/>
      </w:pPr>
    </w:p>
    <w:sectPr w:rsidR="00617F5F" w:rsidRPr="000B5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39A" w:rsidRDefault="00AB539A" w:rsidP="000B55EE">
      <w:pPr>
        <w:spacing w:after="0" w:line="240" w:lineRule="auto"/>
      </w:pPr>
      <w:r>
        <w:separator/>
      </w:r>
    </w:p>
  </w:endnote>
  <w:endnote w:type="continuationSeparator" w:id="0">
    <w:p w:rsidR="00AB539A" w:rsidRDefault="00AB539A" w:rsidP="000B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39A" w:rsidRDefault="00AB539A" w:rsidP="000B55EE">
      <w:pPr>
        <w:spacing w:after="0" w:line="240" w:lineRule="auto"/>
      </w:pPr>
      <w:r>
        <w:separator/>
      </w:r>
    </w:p>
  </w:footnote>
  <w:footnote w:type="continuationSeparator" w:id="0">
    <w:p w:rsidR="00AB539A" w:rsidRDefault="00AB539A" w:rsidP="000B5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31897"/>
    <w:multiLevelType w:val="hybridMultilevel"/>
    <w:tmpl w:val="1E8057A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88"/>
    <w:rsid w:val="00012CFF"/>
    <w:rsid w:val="000527C9"/>
    <w:rsid w:val="000879A3"/>
    <w:rsid w:val="000B55EE"/>
    <w:rsid w:val="002602AF"/>
    <w:rsid w:val="002F28EE"/>
    <w:rsid w:val="003665DA"/>
    <w:rsid w:val="00376CB2"/>
    <w:rsid w:val="003F7388"/>
    <w:rsid w:val="00617F5F"/>
    <w:rsid w:val="006B3562"/>
    <w:rsid w:val="00711F68"/>
    <w:rsid w:val="00866875"/>
    <w:rsid w:val="00982A38"/>
    <w:rsid w:val="00AB539A"/>
    <w:rsid w:val="00AF457F"/>
    <w:rsid w:val="00C06CB2"/>
    <w:rsid w:val="00CE3955"/>
    <w:rsid w:val="00CE56BA"/>
    <w:rsid w:val="00E04825"/>
    <w:rsid w:val="00F3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3677"/>
  <w15:chartTrackingRefBased/>
  <w15:docId w15:val="{55D383F8-6434-4C85-B982-3995B830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A38"/>
    <w:pPr>
      <w:spacing w:after="200" w:line="276" w:lineRule="auto"/>
      <w:jc w:val="both"/>
    </w:pPr>
    <w:rPr>
      <w:sz w:val="24"/>
    </w:rPr>
  </w:style>
  <w:style w:type="paragraph" w:styleId="Heading1">
    <w:name w:val="heading 1"/>
    <w:basedOn w:val="Normal"/>
    <w:next w:val="Normal"/>
    <w:link w:val="Heading1Char"/>
    <w:uiPriority w:val="9"/>
    <w:qFormat/>
    <w:rsid w:val="00982A38"/>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38"/>
    <w:rPr>
      <w:b/>
      <w:sz w:val="28"/>
    </w:rPr>
  </w:style>
  <w:style w:type="paragraph" w:styleId="Title">
    <w:name w:val="Title"/>
    <w:basedOn w:val="Normal"/>
    <w:next w:val="Normal"/>
    <w:link w:val="TitleChar"/>
    <w:uiPriority w:val="10"/>
    <w:qFormat/>
    <w:rsid w:val="00982A38"/>
    <w:pPr>
      <w:jc w:val="center"/>
    </w:pPr>
    <w:rPr>
      <w:b/>
      <w:sz w:val="40"/>
    </w:rPr>
  </w:style>
  <w:style w:type="character" w:customStyle="1" w:styleId="TitleChar">
    <w:name w:val="Title Char"/>
    <w:basedOn w:val="DefaultParagraphFont"/>
    <w:link w:val="Title"/>
    <w:uiPriority w:val="10"/>
    <w:rsid w:val="00982A38"/>
    <w:rPr>
      <w:b/>
      <w:sz w:val="40"/>
    </w:rPr>
  </w:style>
  <w:style w:type="table" w:styleId="TableGrid">
    <w:name w:val="Table Grid"/>
    <w:basedOn w:val="TableNormal"/>
    <w:uiPriority w:val="59"/>
    <w:rsid w:val="00982A38"/>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82A38"/>
    <w:pPr>
      <w:spacing w:after="100"/>
    </w:pPr>
  </w:style>
  <w:style w:type="character" w:styleId="Hyperlink">
    <w:name w:val="Hyperlink"/>
    <w:basedOn w:val="DefaultParagraphFont"/>
    <w:uiPriority w:val="99"/>
    <w:unhideWhenUsed/>
    <w:rsid w:val="00982A38"/>
    <w:rPr>
      <w:color w:val="0563C1" w:themeColor="hyperlink"/>
      <w:u w:val="single"/>
    </w:rPr>
  </w:style>
  <w:style w:type="paragraph" w:styleId="TOCHeading">
    <w:name w:val="TOC Heading"/>
    <w:basedOn w:val="Heading1"/>
    <w:next w:val="Normal"/>
    <w:uiPriority w:val="39"/>
    <w:unhideWhenUsed/>
    <w:qFormat/>
    <w:rsid w:val="00982A38"/>
    <w:pPr>
      <w:keepNext/>
      <w:keepLines/>
      <w:spacing w:before="480" w:after="0"/>
      <w:jc w:val="left"/>
      <w:outlineLvl w:val="9"/>
    </w:pPr>
    <w:rPr>
      <w:rFonts w:asciiTheme="majorHAnsi" w:eastAsiaTheme="majorEastAsia" w:hAnsiTheme="majorHAnsi" w:cstheme="majorBidi"/>
      <w:bCs/>
      <w:color w:val="2E74B5" w:themeColor="accent1" w:themeShade="BF"/>
      <w:szCs w:val="28"/>
      <w:lang w:eastAsia="ja-JP"/>
    </w:rPr>
  </w:style>
  <w:style w:type="paragraph" w:styleId="TableofFigures">
    <w:name w:val="table of figures"/>
    <w:basedOn w:val="Normal"/>
    <w:next w:val="Normal"/>
    <w:uiPriority w:val="99"/>
    <w:unhideWhenUsed/>
    <w:rsid w:val="00982A38"/>
    <w:pPr>
      <w:spacing w:after="0"/>
    </w:pPr>
  </w:style>
  <w:style w:type="paragraph" w:styleId="TOC2">
    <w:name w:val="toc 2"/>
    <w:basedOn w:val="Normal"/>
    <w:next w:val="Normal"/>
    <w:autoRedefine/>
    <w:uiPriority w:val="39"/>
    <w:unhideWhenUsed/>
    <w:rsid w:val="00982A38"/>
    <w:pPr>
      <w:spacing w:after="100"/>
      <w:ind w:left="240"/>
    </w:pPr>
  </w:style>
  <w:style w:type="character" w:styleId="FollowedHyperlink">
    <w:name w:val="FollowedHyperlink"/>
    <w:basedOn w:val="DefaultParagraphFont"/>
    <w:uiPriority w:val="99"/>
    <w:semiHidden/>
    <w:unhideWhenUsed/>
    <w:rsid w:val="002F28EE"/>
    <w:rPr>
      <w:color w:val="954F72" w:themeColor="followedHyperlink"/>
      <w:u w:val="single"/>
    </w:rPr>
  </w:style>
  <w:style w:type="paragraph" w:customStyle="1" w:styleId="Caption1">
    <w:name w:val="Caption1"/>
    <w:basedOn w:val="Normal"/>
    <w:qFormat/>
    <w:rsid w:val="00CE56BA"/>
    <w:pPr>
      <w:spacing w:after="480"/>
      <w:jc w:val="center"/>
    </w:pPr>
    <w:rPr>
      <w:sz w:val="18"/>
    </w:rPr>
  </w:style>
  <w:style w:type="paragraph" w:customStyle="1" w:styleId="captiontitle">
    <w:name w:val="caption_title"/>
    <w:basedOn w:val="Caption1"/>
    <w:qFormat/>
    <w:rsid w:val="00CE56BA"/>
    <w:pPr>
      <w:spacing w:after="0"/>
    </w:pPr>
  </w:style>
  <w:style w:type="paragraph" w:styleId="ListParagraph">
    <w:name w:val="List Paragraph"/>
    <w:basedOn w:val="Normal"/>
    <w:uiPriority w:val="34"/>
    <w:qFormat/>
    <w:rsid w:val="00012CFF"/>
    <w:pPr>
      <w:ind w:left="720"/>
      <w:contextualSpacing/>
    </w:pPr>
  </w:style>
  <w:style w:type="paragraph" w:styleId="EndnoteText">
    <w:name w:val="endnote text"/>
    <w:basedOn w:val="Normal"/>
    <w:link w:val="EndnoteTextChar"/>
    <w:uiPriority w:val="99"/>
    <w:semiHidden/>
    <w:unhideWhenUsed/>
    <w:rsid w:val="000B5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55EE"/>
    <w:rPr>
      <w:sz w:val="20"/>
      <w:szCs w:val="20"/>
    </w:rPr>
  </w:style>
  <w:style w:type="character" w:styleId="EndnoteReference">
    <w:name w:val="endnote reference"/>
    <w:basedOn w:val="DefaultParagraphFont"/>
    <w:uiPriority w:val="99"/>
    <w:semiHidden/>
    <w:unhideWhenUsed/>
    <w:rsid w:val="000B55EE"/>
    <w:rPr>
      <w:vertAlign w:val="superscript"/>
    </w:rPr>
  </w:style>
  <w:style w:type="paragraph" w:styleId="Caption">
    <w:name w:val="caption"/>
    <w:basedOn w:val="Normal"/>
    <w:next w:val="Normal"/>
    <w:uiPriority w:val="35"/>
    <w:unhideWhenUsed/>
    <w:qFormat/>
    <w:rsid w:val="00617F5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DBD8-DC80-489B-A914-0886118B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Luna Paolo</dc:creator>
  <cp:keywords/>
  <dc:description/>
  <cp:lastModifiedBy>De Luna Paolo</cp:lastModifiedBy>
  <cp:revision>14</cp:revision>
  <dcterms:created xsi:type="dcterms:W3CDTF">2018-03-15T14:21:00Z</dcterms:created>
  <dcterms:modified xsi:type="dcterms:W3CDTF">2018-03-16T11:30:00Z</dcterms:modified>
</cp:coreProperties>
</file>