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semanal de capacidad de despacho - SmartRoute Logistics</w:t>
      </w:r>
    </w:p>
    <w:p>
      <w:r>
        <w:t>Periodo analizado: 2026-01-05 a 2026-07-03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Capacidad total (paquetes)</w:t>
            </w:r>
          </w:p>
        </w:tc>
        <w:tc>
          <w:tcPr>
            <w:tcW w:type="dxa" w:w="4320"/>
          </w:tcPr>
          <w:p>
            <w:r>
              <w:t>1,577,212</w:t>
            </w:r>
          </w:p>
        </w:tc>
      </w:tr>
      <w:tr>
        <w:tc>
          <w:tcPr>
            <w:tcW w:type="dxa" w:w="4320"/>
          </w:tcPr>
          <w:p>
            <w:r>
              <w:t>Demanda total (paquetes)</w:t>
            </w:r>
          </w:p>
        </w:tc>
        <w:tc>
          <w:tcPr>
            <w:tcW w:type="dxa" w:w="4320"/>
          </w:tcPr>
          <w:p>
            <w:r>
              <w:t>1,692,646</w:t>
            </w:r>
          </w:p>
        </w:tc>
      </w:tr>
      <w:tr>
        <w:tc>
          <w:tcPr>
            <w:tcW w:type="dxa" w:w="4320"/>
          </w:tcPr>
          <w:p>
            <w:r>
              <w:t>Déficit total (paquetes)</w:t>
            </w:r>
          </w:p>
        </w:tc>
        <w:tc>
          <w:tcPr>
            <w:tcW w:type="dxa" w:w="4320"/>
          </w:tcPr>
          <w:p>
            <w:r>
              <w:t>172,314</w:t>
            </w:r>
          </w:p>
        </w:tc>
      </w:tr>
      <w:tr>
        <w:tc>
          <w:tcPr>
            <w:tcW w:type="dxa" w:w="4320"/>
          </w:tcPr>
          <w:p>
            <w:r>
              <w:t>Cobertura (%)</w:t>
            </w:r>
          </w:p>
        </w:tc>
        <w:tc>
          <w:tcPr>
            <w:tcW w:type="dxa" w:w="4320"/>
          </w:tcPr>
          <w:p>
            <w:r>
              <w:t>89.82</w:t>
            </w:r>
          </w:p>
        </w:tc>
      </w:tr>
    </w:tbl>
    <w:p>
      <w:pPr>
        <w:pStyle w:val="Heading1"/>
      </w:pPr>
      <w:r>
        <w:t>Gráfico de Comportamiento Operativo</w:t>
      </w:r>
    </w:p>
    <w:p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 Principal</w:t>
      </w:r>
    </w:p>
    <w:p>
      <w:r>
        <w:t>El centro C07 concentra 36,725 paquetes de déficit (21.3% del total). En días con campaña programada, el déficit medio por registro asciende a 201.8 paquetes frente a 81.7 en días normales.</w:t>
      </w:r>
    </w:p>
    <w:p>
      <w:pPr>
        <w:pStyle w:val="Heading1"/>
      </w:pPr>
      <w:r>
        <w:t>Recomendación</w:t>
      </w:r>
    </w:p>
    <w:p>
      <w:r>
        <w:t>Priorizar la ampliación de capacidad operativa o la redistribución de rutas hacia el centro C07, reforzando la logística de despacho especialmente durante las jornadas de campañas activas.</w:t>
      </w:r>
    </w:p>
    <w:p>
      <w:pPr>
        <w:pStyle w:val="Heading1"/>
      </w:pPr>
      <w:r>
        <w:t>Limitación Real</w:t>
      </w:r>
    </w:p>
    <w:p>
      <w:r>
        <w:t>Los datos analizados corresponden al periodo de operación y evalúan el déficit de forma independiente por jornada sin acumular rezago de paquetes no entregados para el día siguiente.</w:t>
      </w:r>
    </w:p>
    <w:p>
      <w:r>
        <w:t>Fuente: operacion_centros.csv | Registros: 1620 | SHA-256: dddae40c4c62332c908d5bb9095d067e5eb4431514349c5f9641ac804c17e1db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