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u w:val="single"/>
        </w:rPr>
      </w:pPr>
      <w:r w:rsidDel="00000000" w:rsidR="00000000" w:rsidRPr="00000000">
        <w:rPr>
          <w:b w:val="1"/>
          <w:sz w:val="28"/>
          <w:szCs w:val="28"/>
          <w:u w:val="single"/>
          <w:rtl w:val="0"/>
        </w:rPr>
        <w:t xml:space="preserve">Analisis y definicion de los clusters</w:t>
      </w:r>
    </w:p>
    <w:p w:rsidR="00000000" w:rsidDel="00000000" w:rsidP="00000000" w:rsidRDefault="00000000" w:rsidRPr="00000000" w14:paraId="00000002">
      <w:pPr>
        <w:spacing w:after="240" w:before="240" w:lineRule="auto"/>
        <w:rPr/>
      </w:pPr>
      <w:r w:rsidDel="00000000" w:rsidR="00000000" w:rsidRPr="00000000">
        <w:rPr>
          <w:b w:val="1"/>
          <w:rtl w:val="0"/>
        </w:rPr>
        <w:t xml:space="preserve">Cluster 0 - Precios medio-bajo:</w:t>
      </w:r>
      <w:r w:rsidDel="00000000" w:rsidR="00000000" w:rsidRPr="00000000">
        <w:rPr>
          <w:rtl w:val="0"/>
        </w:rPr>
        <w:t xml:space="preserve"> Este cluster incluye áreas con precios medios-bajos tanto en alquiler como en ventas. También se caracteriza por tener una renta media-baja, lo que significa que la población en estas zonas tiene un poder adquisitivo moderado. Sin embargo, uno de los desafíos en estas áreas es el segundo mayor nivel de desempleo, lo que puede impactar en la economía local y la calidad de vida de sus habitantes.</w:t>
      </w:r>
    </w:p>
    <w:p w:rsidR="00000000" w:rsidDel="00000000" w:rsidP="00000000" w:rsidRDefault="00000000" w:rsidRPr="00000000" w14:paraId="00000003">
      <w:pPr>
        <w:spacing w:after="240" w:before="240" w:lineRule="auto"/>
        <w:rPr/>
      </w:pPr>
      <w:r w:rsidDel="00000000" w:rsidR="00000000" w:rsidRPr="00000000">
        <w:rPr>
          <w:rtl w:val="0"/>
        </w:rPr>
        <w:t xml:space="preserve">Las ubicaciones comprendidas en este cluster son: </w:t>
      </w:r>
      <w:r w:rsidDel="00000000" w:rsidR="00000000" w:rsidRPr="00000000">
        <w:rPr>
          <w:u w:val="single"/>
          <w:rtl w:val="0"/>
        </w:rPr>
        <w:t xml:space="preserve">Centro, Ciudad Lineal, Latina, Moratalaz, San Blas, Tetuan, Vicalvaro y Villa Vallecas</w:t>
      </w:r>
      <w:r w:rsidDel="00000000" w:rsidR="00000000" w:rsidRPr="00000000">
        <w:rPr>
          <w:rtl w:val="0"/>
        </w:rPr>
        <w:t xml:space="preserve">. Estas áreas pueden ser atractivas para aquellos que buscan opciones de vivienda más asequibles pero deben considerar el contexto económico y laboral.</w:t>
      </w:r>
    </w:p>
    <w:p w:rsidR="00000000" w:rsidDel="00000000" w:rsidP="00000000" w:rsidRDefault="00000000" w:rsidRPr="00000000" w14:paraId="00000004">
      <w:pPr>
        <w:spacing w:after="240" w:before="240" w:lineRule="auto"/>
        <w:rPr/>
      </w:pPr>
      <w:r w:rsidDel="00000000" w:rsidR="00000000" w:rsidRPr="00000000">
        <w:rPr>
          <w:b w:val="1"/>
          <w:rtl w:val="0"/>
        </w:rPr>
        <w:t xml:space="preserve">Cluster 1 - Precios Altos:</w:t>
      </w:r>
      <w:r w:rsidDel="00000000" w:rsidR="00000000" w:rsidRPr="00000000">
        <w:rPr>
          <w:rtl w:val="0"/>
        </w:rPr>
        <w:t xml:space="preserve"> El cluster 1 está compuesto por zonas con precios altos tanto en alquiler como en ventas. Aquí, la renta es alta, lo que indica que los residentes tienen un poder adquisitivo significativo. Estas áreas también se destacan por tener mayor seguridad en comparación con otros clusters y una tasa de desempleo más baja, lo que sugiere un ambiente económico más favorable.</w:t>
      </w:r>
    </w:p>
    <w:p w:rsidR="00000000" w:rsidDel="00000000" w:rsidP="00000000" w:rsidRDefault="00000000" w:rsidRPr="00000000" w14:paraId="00000005">
      <w:pPr>
        <w:spacing w:after="240" w:before="240" w:lineRule="auto"/>
        <w:rPr/>
      </w:pPr>
      <w:r w:rsidDel="00000000" w:rsidR="00000000" w:rsidRPr="00000000">
        <w:rPr>
          <w:rtl w:val="0"/>
        </w:rPr>
        <w:t xml:space="preserve">Las ubicaciones incluidas en este cluster son: </w:t>
      </w:r>
      <w:r w:rsidDel="00000000" w:rsidR="00000000" w:rsidRPr="00000000">
        <w:rPr>
          <w:u w:val="single"/>
          <w:rtl w:val="0"/>
        </w:rPr>
        <w:t xml:space="preserve">Chamartin, Chamberi, Retiro y Salamanca</w:t>
      </w:r>
      <w:r w:rsidDel="00000000" w:rsidR="00000000" w:rsidRPr="00000000">
        <w:rPr>
          <w:rtl w:val="0"/>
        </w:rPr>
        <w:t xml:space="preserve">. Estas áreas suelen ser más exclusivas y ofrecen una calidad de vida elevada debido a la seguridad y el nivel adquisitivo de sus residentes. Sin embargo, también pueden tener menos zonas verdes debido a su carácter urbano y densamente poblado.</w:t>
      </w:r>
    </w:p>
    <w:p w:rsidR="00000000" w:rsidDel="00000000" w:rsidP="00000000" w:rsidRDefault="00000000" w:rsidRPr="00000000" w14:paraId="00000006">
      <w:pPr>
        <w:spacing w:after="240" w:before="240" w:lineRule="auto"/>
        <w:rPr/>
      </w:pPr>
      <w:r w:rsidDel="00000000" w:rsidR="00000000" w:rsidRPr="00000000">
        <w:rPr>
          <w:b w:val="1"/>
          <w:rtl w:val="0"/>
        </w:rPr>
        <w:t xml:space="preserve">Cluster 2 - Precios Bajos:</w:t>
      </w:r>
      <w:r w:rsidDel="00000000" w:rsidR="00000000" w:rsidRPr="00000000">
        <w:rPr>
          <w:rtl w:val="0"/>
        </w:rPr>
        <w:t xml:space="preserve"> En este cluster, encontramos zonas con precios bajos tanto en alquiler como en ventas. La renta en estas áreas tiende a ser baja, lo que puede reflejar un nivel adquisitivo más limitado para sus habitantes. Además, la calidad de vida y la seguridad pueden ser inferiores en comparación con otros clusters debido a la alta densidad de población y una tasa de desempleo elevada.</w:t>
      </w:r>
    </w:p>
    <w:p w:rsidR="00000000" w:rsidDel="00000000" w:rsidP="00000000" w:rsidRDefault="00000000" w:rsidRPr="00000000" w14:paraId="00000007">
      <w:pPr>
        <w:spacing w:after="240" w:before="240" w:lineRule="auto"/>
        <w:rPr/>
      </w:pPr>
      <w:r w:rsidDel="00000000" w:rsidR="00000000" w:rsidRPr="00000000">
        <w:rPr>
          <w:rtl w:val="0"/>
        </w:rPr>
        <w:t xml:space="preserve">Las ubicaciones incluidas en este cluster son: </w:t>
      </w:r>
      <w:r w:rsidDel="00000000" w:rsidR="00000000" w:rsidRPr="00000000">
        <w:rPr>
          <w:u w:val="single"/>
          <w:rtl w:val="0"/>
        </w:rPr>
        <w:t xml:space="preserve">Carabanchel, Puente Vallecas, Usera y Villaverde</w:t>
      </w:r>
      <w:r w:rsidDel="00000000" w:rsidR="00000000" w:rsidRPr="00000000">
        <w:rPr>
          <w:rtl w:val="0"/>
        </w:rPr>
        <w:t xml:space="preserve">. Estas áreas pueden ser opciones asequibles para vivir, pero también pueden presentar desafíos socio-económicos que es importante tener en cuenta al considerar una residencia en ellas.</w:t>
      </w:r>
    </w:p>
    <w:p w:rsidR="00000000" w:rsidDel="00000000" w:rsidP="00000000" w:rsidRDefault="00000000" w:rsidRPr="00000000" w14:paraId="00000008">
      <w:pPr>
        <w:spacing w:after="240" w:before="240" w:lineRule="auto"/>
        <w:rPr/>
      </w:pPr>
      <w:r w:rsidDel="00000000" w:rsidR="00000000" w:rsidRPr="00000000">
        <w:rPr>
          <w:b w:val="1"/>
          <w:rtl w:val="0"/>
        </w:rPr>
        <w:t xml:space="preserve">Cluster 3 - Precios medios-altos:</w:t>
      </w:r>
      <w:r w:rsidDel="00000000" w:rsidR="00000000" w:rsidRPr="00000000">
        <w:rPr>
          <w:rtl w:val="0"/>
        </w:rPr>
        <w:t xml:space="preserve"> En el cluster 3, se encuentran zonas con precios medios-altos tanto en alquiler como en ventas. La renta en estas áreas es media-alta, lo que sugiere que sus residentes tienen un nivel adquisitivo cómodo. Estas zonas también se benefician de una muy buena seguridad y un mayor número de zonas verdes, lo que contribuye a una mejor calidad de vida.</w:t>
      </w:r>
    </w:p>
    <w:p w:rsidR="00000000" w:rsidDel="00000000" w:rsidP="00000000" w:rsidRDefault="00000000" w:rsidRPr="00000000" w14:paraId="00000009">
      <w:pPr>
        <w:spacing w:after="240" w:before="240" w:lineRule="auto"/>
        <w:rPr/>
      </w:pPr>
      <w:r w:rsidDel="00000000" w:rsidR="00000000" w:rsidRPr="00000000">
        <w:rPr>
          <w:rtl w:val="0"/>
        </w:rPr>
        <w:t xml:space="preserve">Las ubicaciones incluidas en este cluster son: </w:t>
      </w:r>
      <w:r w:rsidDel="00000000" w:rsidR="00000000" w:rsidRPr="00000000">
        <w:rPr>
          <w:u w:val="single"/>
          <w:rtl w:val="0"/>
        </w:rPr>
        <w:t xml:space="preserve">Arganzuela, Barajas, Fuencarral, Hortaleza y Moncloa</w:t>
      </w:r>
      <w:r w:rsidDel="00000000" w:rsidR="00000000" w:rsidRPr="00000000">
        <w:rPr>
          <w:rtl w:val="0"/>
        </w:rPr>
        <w:t xml:space="preserve">. Estas áreas ofrecen una combinación atractiva de comodidades urbanas, espacios verdes y seguridad, lo que las hace atractivas para aquellos que buscan una buena calidad de vida.</w:t>
      </w:r>
    </w:p>
    <w:p w:rsidR="00000000" w:rsidDel="00000000" w:rsidP="00000000" w:rsidRDefault="00000000" w:rsidRPr="00000000" w14:paraId="0000000A">
      <w:pPr>
        <w:spacing w:after="240" w:before="240" w:lineRule="auto"/>
        <w:rPr/>
      </w:pPr>
      <w:r w:rsidDel="00000000" w:rsidR="00000000" w:rsidRPr="00000000">
        <w:rPr>
          <w:rtl w:val="0"/>
        </w:rPr>
        <w:t xml:space="preserve">Es importante tener en cuenta que estos clusters están definidos en función de ciertos criterios y características, y que cada área puede tener una diversidad de barrios y vecindarios que aporten matices adicionales a su perfil. Al considerar opciones de vivienda, es recomendable investigar más a fondo cada área específica para tomar una decisión.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TABLA COMPARATIVA</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8699715064804"/>
        <w:gridCol w:w="1641.800300254297"/>
        <w:gridCol w:w="1606.6815772542052"/>
        <w:gridCol w:w="1650.57998100432"/>
        <w:gridCol w:w="1650.57998100432"/>
        <w:tblGridChange w:id="0">
          <w:tblGrid>
            <w:gridCol w:w="2475.8699715064804"/>
            <w:gridCol w:w="1641.800300254297"/>
            <w:gridCol w:w="1606.6815772542052"/>
            <w:gridCol w:w="1650.57998100432"/>
            <w:gridCol w:w="1650.57998100432"/>
          </w:tblGrid>
        </w:tblGridChange>
      </w:tblGrid>
      <w:tr>
        <w:trPr>
          <w:cantSplit w:val="0"/>
          <w:trHeight w:val="540" w:hRule="atLeast"/>
          <w:tblHeader w:val="0"/>
        </w:trPr>
        <w:tc>
          <w:tcPr>
            <w:tcBorders>
              <w:top w:color="cccccc" w:space="0" w:sz="5" w:val="single"/>
              <w:left w:color="cccccc" w:space="0" w:sz="5" w:val="single"/>
              <w:bottom w:color="000000" w:space="0" w:sz="5" w:val="single"/>
              <w:right w:color="cccccc" w:space="0" w:sz="5" w:val="single"/>
            </w:tcBorders>
            <w:tcMar>
              <w:top w:w="0.0" w:type="dxa"/>
              <w:left w:w="40.0" w:type="dxa"/>
              <w:bottom w:w="0.0" w:type="dxa"/>
              <w:right w:w="40.0" w:type="dxa"/>
            </w:tcMar>
            <w:vAlign w:val="top"/>
          </w:tcPr>
          <w:p w:rsidR="00000000" w:rsidDel="00000000" w:rsidP="00000000" w:rsidRDefault="00000000" w:rsidRPr="00000000" w14:paraId="00000013">
            <w:pPr>
              <w:widowControl w:val="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014">
            <w:pPr>
              <w:widowControl w:val="0"/>
              <w:jc w:val="center"/>
              <w:rPr>
                <w:b w:val="1"/>
              </w:rPr>
            </w:pPr>
            <w:r w:rsidDel="00000000" w:rsidR="00000000" w:rsidRPr="00000000">
              <w:rPr>
                <w:b w:val="1"/>
                <w:rtl w:val="0"/>
              </w:rPr>
              <w:t xml:space="preserve">Precios</w:t>
            </w:r>
          </w:p>
          <w:p w:rsidR="00000000" w:rsidDel="00000000" w:rsidP="00000000" w:rsidRDefault="00000000" w:rsidRPr="00000000" w14:paraId="00000015">
            <w:pPr>
              <w:widowControl w:val="0"/>
              <w:jc w:val="center"/>
              <w:rPr/>
            </w:pPr>
            <w:r w:rsidDel="00000000" w:rsidR="00000000" w:rsidRPr="00000000">
              <w:rPr>
                <w:b w:val="1"/>
                <w:rtl w:val="0"/>
              </w:rPr>
              <w:t xml:space="preserve">Altos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016">
            <w:pPr>
              <w:widowControl w:val="0"/>
              <w:jc w:val="center"/>
              <w:rPr>
                <w:b w:val="1"/>
              </w:rPr>
            </w:pPr>
            <w:r w:rsidDel="00000000" w:rsidR="00000000" w:rsidRPr="00000000">
              <w:rPr>
                <w:b w:val="1"/>
                <w:rtl w:val="0"/>
              </w:rPr>
              <w:t xml:space="preserve">Precios</w:t>
            </w:r>
          </w:p>
          <w:p w:rsidR="00000000" w:rsidDel="00000000" w:rsidP="00000000" w:rsidRDefault="00000000" w:rsidRPr="00000000" w14:paraId="00000017">
            <w:pPr>
              <w:widowControl w:val="0"/>
              <w:jc w:val="center"/>
              <w:rPr/>
            </w:pPr>
            <w:r w:rsidDel="00000000" w:rsidR="00000000" w:rsidRPr="00000000">
              <w:rPr>
                <w:b w:val="1"/>
                <w:rtl w:val="0"/>
              </w:rPr>
              <w:t xml:space="preserve">Medio-alto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018">
            <w:pPr>
              <w:widowControl w:val="0"/>
              <w:jc w:val="center"/>
              <w:rPr>
                <w:b w:val="1"/>
              </w:rPr>
            </w:pPr>
            <w:r w:rsidDel="00000000" w:rsidR="00000000" w:rsidRPr="00000000">
              <w:rPr>
                <w:b w:val="1"/>
                <w:rtl w:val="0"/>
              </w:rPr>
              <w:t xml:space="preserve">Precios</w:t>
            </w:r>
          </w:p>
          <w:p w:rsidR="00000000" w:rsidDel="00000000" w:rsidP="00000000" w:rsidRDefault="00000000" w:rsidRPr="00000000" w14:paraId="00000019">
            <w:pPr>
              <w:widowControl w:val="0"/>
              <w:jc w:val="center"/>
              <w:rPr/>
            </w:pPr>
            <w:r w:rsidDel="00000000" w:rsidR="00000000" w:rsidRPr="00000000">
              <w:rPr>
                <w:b w:val="1"/>
                <w:rtl w:val="0"/>
              </w:rPr>
              <w:t xml:space="preserve">Medio-bajo</w:t>
            </w: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d9d9d9" w:val="clear"/>
            <w:tcMar>
              <w:top w:w="0.0" w:type="dxa"/>
              <w:left w:w="40.0" w:type="dxa"/>
              <w:bottom w:w="0.0" w:type="dxa"/>
              <w:right w:w="40.0" w:type="dxa"/>
            </w:tcMar>
            <w:vAlign w:val="bottom"/>
          </w:tcPr>
          <w:p w:rsidR="00000000" w:rsidDel="00000000" w:rsidP="00000000" w:rsidRDefault="00000000" w:rsidRPr="00000000" w14:paraId="0000001A">
            <w:pPr>
              <w:widowControl w:val="0"/>
              <w:jc w:val="center"/>
              <w:rPr>
                <w:b w:val="1"/>
              </w:rPr>
            </w:pPr>
            <w:r w:rsidDel="00000000" w:rsidR="00000000" w:rsidRPr="00000000">
              <w:rPr>
                <w:b w:val="1"/>
                <w:rtl w:val="0"/>
              </w:rPr>
              <w:t xml:space="preserve">Precios</w:t>
            </w:r>
          </w:p>
          <w:p w:rsidR="00000000" w:rsidDel="00000000" w:rsidP="00000000" w:rsidRDefault="00000000" w:rsidRPr="00000000" w14:paraId="0000001B">
            <w:pPr>
              <w:widowControl w:val="0"/>
              <w:jc w:val="center"/>
              <w:rPr/>
            </w:pPr>
            <w:r w:rsidDel="00000000" w:rsidR="00000000" w:rsidRPr="00000000">
              <w:rPr>
                <w:b w:val="1"/>
                <w:rtl w:val="0"/>
              </w:rPr>
              <w:t xml:space="preserve">Bajos</w:t>
            </w: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1C">
            <w:pPr>
              <w:widowControl w:val="0"/>
              <w:jc w:val="center"/>
              <w:rPr/>
            </w:pPr>
            <w:r w:rsidDel="00000000" w:rsidR="00000000" w:rsidRPr="00000000">
              <w:rPr>
                <w:b w:val="1"/>
                <w:rtl w:val="0"/>
              </w:rPr>
              <w:t xml:space="preserve">Ventas(m2)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57bb8a" w:val="clear"/>
            <w:tcMar>
              <w:top w:w="0.0" w:type="dxa"/>
              <w:left w:w="40.0" w:type="dxa"/>
              <w:bottom w:w="0.0" w:type="dxa"/>
              <w:right w:w="40.0" w:type="dxa"/>
            </w:tcMar>
            <w:vAlign w:val="center"/>
          </w:tcPr>
          <w:p w:rsidR="00000000" w:rsidDel="00000000" w:rsidP="00000000" w:rsidRDefault="00000000" w:rsidRPr="00000000" w14:paraId="0000001D">
            <w:pPr>
              <w:widowControl w:val="0"/>
              <w:jc w:val="center"/>
              <w:rPr/>
            </w:pPr>
            <w:r w:rsidDel="00000000" w:rsidR="00000000" w:rsidRPr="00000000">
              <w:rPr>
                <w:rtl w:val="0"/>
              </w:rPr>
              <w:t xml:space="preserve">5705,25</w:t>
            </w:r>
          </w:p>
        </w:tc>
        <w:tc>
          <w:tcPr>
            <w:tcBorders>
              <w:top w:color="cccccc" w:space="0" w:sz="5" w:val="single"/>
              <w:left w:color="cccccc" w:space="0" w:sz="5" w:val="single"/>
              <w:bottom w:color="cccccc" w:space="0" w:sz="5" w:val="single"/>
              <w:right w:color="cccccc" w:space="0" w:sz="5" w:val="single"/>
            </w:tcBorders>
            <w:shd w:fill="e3f4eb" w:val="clear"/>
            <w:tcMar>
              <w:top w:w="0.0" w:type="dxa"/>
              <w:left w:w="40.0" w:type="dxa"/>
              <w:bottom w:w="0.0" w:type="dxa"/>
              <w:right w:w="40.0" w:type="dxa"/>
            </w:tcMar>
            <w:vAlign w:val="center"/>
          </w:tcPr>
          <w:p w:rsidR="00000000" w:rsidDel="00000000" w:rsidP="00000000" w:rsidRDefault="00000000" w:rsidRPr="00000000" w14:paraId="0000001E">
            <w:pPr>
              <w:widowControl w:val="0"/>
              <w:jc w:val="center"/>
              <w:rPr/>
            </w:pPr>
            <w:r w:rsidDel="00000000" w:rsidR="00000000" w:rsidRPr="00000000">
              <w:rPr>
                <w:rtl w:val="0"/>
              </w:rPr>
              <w:t xml:space="preserve">3934</w:t>
            </w:r>
          </w:p>
        </w:tc>
        <w:tc>
          <w:tcPr>
            <w:tcBorders>
              <w:top w:color="cccccc" w:space="0" w:sz="5" w:val="single"/>
              <w:left w:color="cccccc" w:space="0" w:sz="5" w:val="single"/>
              <w:bottom w:color="cccccc" w:space="0" w:sz="5" w:val="single"/>
              <w:right w:color="cccccc" w:space="0" w:sz="5" w:val="single"/>
            </w:tcBorders>
            <w:shd w:fill="f8dddb" w:val="clear"/>
            <w:tcMar>
              <w:top w:w="0.0" w:type="dxa"/>
              <w:left w:w="40.0" w:type="dxa"/>
              <w:bottom w:w="0.0" w:type="dxa"/>
              <w:right w:w="40.0" w:type="dxa"/>
            </w:tcMar>
            <w:vAlign w:val="center"/>
          </w:tcPr>
          <w:p w:rsidR="00000000" w:rsidDel="00000000" w:rsidP="00000000" w:rsidRDefault="00000000" w:rsidRPr="00000000" w14:paraId="0000001F">
            <w:pPr>
              <w:widowControl w:val="0"/>
              <w:jc w:val="center"/>
              <w:rPr/>
            </w:pPr>
            <w:r w:rsidDel="00000000" w:rsidR="00000000" w:rsidRPr="00000000">
              <w:rPr>
                <w:rtl w:val="0"/>
              </w:rPr>
              <w:t xml:space="preserve">3203,37</w:t>
            </w:r>
          </w:p>
        </w:tc>
        <w:tc>
          <w:tcPr>
            <w:tcBorders>
              <w:top w:color="cccccc" w:space="0" w:sz="5" w:val="single"/>
              <w:left w:color="cccccc" w:space="0" w:sz="5" w:val="single"/>
              <w:bottom w:color="cccccc" w:space="0" w:sz="5" w:val="single"/>
              <w:right w:color="cccccc" w:space="0" w:sz="5" w:val="single"/>
            </w:tcBorders>
            <w:shd w:fill="e67c73" w:val="clear"/>
            <w:tcMar>
              <w:top w:w="0.0" w:type="dxa"/>
              <w:left w:w="40.0" w:type="dxa"/>
              <w:bottom w:w="0.0" w:type="dxa"/>
              <w:right w:w="40.0" w:type="dxa"/>
            </w:tcMar>
            <w:vAlign w:val="center"/>
          </w:tcPr>
          <w:p w:rsidR="00000000" w:rsidDel="00000000" w:rsidP="00000000" w:rsidRDefault="00000000" w:rsidRPr="00000000" w14:paraId="00000020">
            <w:pPr>
              <w:widowControl w:val="0"/>
              <w:jc w:val="center"/>
              <w:rPr/>
            </w:pPr>
            <w:r w:rsidDel="00000000" w:rsidR="00000000" w:rsidRPr="00000000">
              <w:rPr>
                <w:rtl w:val="0"/>
              </w:rPr>
              <w:t xml:space="preserve">2132,75</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21">
            <w:pPr>
              <w:widowControl w:val="0"/>
              <w:jc w:val="center"/>
              <w:rPr/>
            </w:pPr>
            <w:r w:rsidDel="00000000" w:rsidR="00000000" w:rsidRPr="00000000">
              <w:rPr>
                <w:b w:val="1"/>
                <w:rtl w:val="0"/>
              </w:rPr>
              <w:t xml:space="preserve">Alquiler(m2)</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57bb8a" w:val="clear"/>
            <w:tcMar>
              <w:top w:w="0.0" w:type="dxa"/>
              <w:left w:w="40.0" w:type="dxa"/>
              <w:bottom w:w="0.0" w:type="dxa"/>
              <w:right w:w="40.0" w:type="dxa"/>
            </w:tcMar>
            <w:vAlign w:val="center"/>
          </w:tcPr>
          <w:p w:rsidR="00000000" w:rsidDel="00000000" w:rsidP="00000000" w:rsidRDefault="00000000" w:rsidRPr="00000000" w14:paraId="00000022">
            <w:pPr>
              <w:widowControl w:val="0"/>
              <w:jc w:val="center"/>
              <w:rPr/>
            </w:pPr>
            <w:r w:rsidDel="00000000" w:rsidR="00000000" w:rsidRPr="00000000">
              <w:rPr>
                <w:rtl w:val="0"/>
              </w:rPr>
              <w:t xml:space="preserve">18,07</w:t>
            </w:r>
          </w:p>
        </w:tc>
        <w:tc>
          <w:tcPr>
            <w:tcBorders>
              <w:top w:color="cccccc" w:space="0" w:sz="5" w:val="single"/>
              <w:left w:color="cccccc" w:space="0" w:sz="5" w:val="single"/>
              <w:bottom w:color="cccccc" w:space="0" w:sz="5" w:val="single"/>
              <w:right w:color="cccccc" w:space="0" w:sz="5" w:val="single"/>
            </w:tcBorders>
            <w:shd w:fill="fbfefc" w:val="clear"/>
            <w:tcMar>
              <w:top w:w="0.0" w:type="dxa"/>
              <w:left w:w="40.0" w:type="dxa"/>
              <w:bottom w:w="0.0" w:type="dxa"/>
              <w:right w:w="40.0" w:type="dxa"/>
            </w:tcMar>
            <w:vAlign w:val="center"/>
          </w:tcPr>
          <w:p w:rsidR="00000000" w:rsidDel="00000000" w:rsidP="00000000" w:rsidRDefault="00000000" w:rsidRPr="00000000" w14:paraId="00000023">
            <w:pPr>
              <w:widowControl w:val="0"/>
              <w:jc w:val="center"/>
              <w:rPr/>
            </w:pPr>
            <w:r w:rsidDel="00000000" w:rsidR="00000000" w:rsidRPr="00000000">
              <w:rPr>
                <w:rtl w:val="0"/>
              </w:rPr>
              <w:t xml:space="preserve">14,04</w:t>
            </w:r>
          </w:p>
        </w:tc>
        <w:tc>
          <w:tcPr>
            <w:tcBorders>
              <w:top w:color="cccccc" w:space="0" w:sz="5" w:val="single"/>
              <w:left w:color="cccccc" w:space="0" w:sz="5" w:val="single"/>
              <w:bottom w:color="cccccc" w:space="0" w:sz="5" w:val="single"/>
              <w:right w:color="cccccc" w:space="0" w:sz="5" w:val="single"/>
            </w:tcBorders>
            <w:shd w:fill="fdf5f4" w:val="clear"/>
            <w:tcMar>
              <w:top w:w="0.0" w:type="dxa"/>
              <w:left w:w="40.0" w:type="dxa"/>
              <w:bottom w:w="0.0" w:type="dxa"/>
              <w:right w:w="40.0" w:type="dxa"/>
            </w:tcMar>
            <w:vAlign w:val="center"/>
          </w:tcPr>
          <w:p w:rsidR="00000000" w:rsidDel="00000000" w:rsidP="00000000" w:rsidRDefault="00000000" w:rsidRPr="00000000" w14:paraId="00000024">
            <w:pPr>
              <w:widowControl w:val="0"/>
              <w:jc w:val="center"/>
              <w:rPr/>
            </w:pPr>
            <w:r w:rsidDel="00000000" w:rsidR="00000000" w:rsidRPr="00000000">
              <w:rPr>
                <w:rtl w:val="0"/>
              </w:rPr>
              <w:t xml:space="preserve">13,825</w:t>
            </w:r>
          </w:p>
        </w:tc>
        <w:tc>
          <w:tcPr>
            <w:tcBorders>
              <w:top w:color="cccccc" w:space="0" w:sz="5" w:val="single"/>
              <w:left w:color="cccccc" w:space="0" w:sz="5" w:val="single"/>
              <w:bottom w:color="cccccc" w:space="0" w:sz="5" w:val="single"/>
              <w:right w:color="cccccc" w:space="0" w:sz="5" w:val="single"/>
            </w:tcBorders>
            <w:shd w:fill="e67c73" w:val="clear"/>
            <w:tcMar>
              <w:top w:w="0.0" w:type="dxa"/>
              <w:left w:w="40.0" w:type="dxa"/>
              <w:bottom w:w="0.0" w:type="dxa"/>
              <w:right w:w="40.0" w:type="dxa"/>
            </w:tcMar>
            <w:vAlign w:val="center"/>
          </w:tcPr>
          <w:p w:rsidR="00000000" w:rsidDel="00000000" w:rsidP="00000000" w:rsidRDefault="00000000" w:rsidRPr="00000000" w14:paraId="00000025">
            <w:pPr>
              <w:widowControl w:val="0"/>
              <w:jc w:val="center"/>
              <w:rPr/>
            </w:pPr>
            <w:r w:rsidDel="00000000" w:rsidR="00000000" w:rsidRPr="00000000">
              <w:rPr>
                <w:rtl w:val="0"/>
              </w:rPr>
              <w:t xml:space="preserve">12,5</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26">
            <w:pPr>
              <w:widowControl w:val="0"/>
              <w:jc w:val="center"/>
              <w:rPr/>
            </w:pPr>
            <w:r w:rsidDel="00000000" w:rsidR="00000000" w:rsidRPr="00000000">
              <w:rPr>
                <w:b w:val="1"/>
                <w:rtl w:val="0"/>
              </w:rPr>
              <w:t xml:space="preserve">Renta per Cápita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57bb8a" w:val="clear"/>
            <w:tcMar>
              <w:top w:w="0.0" w:type="dxa"/>
              <w:left w:w="40.0" w:type="dxa"/>
              <w:bottom w:w="0.0" w:type="dxa"/>
              <w:right w:w="40.0" w:type="dxa"/>
            </w:tcMar>
            <w:vAlign w:val="center"/>
          </w:tcPr>
          <w:p w:rsidR="00000000" w:rsidDel="00000000" w:rsidP="00000000" w:rsidRDefault="00000000" w:rsidRPr="00000000" w14:paraId="00000027">
            <w:pPr>
              <w:widowControl w:val="0"/>
              <w:jc w:val="center"/>
              <w:rPr/>
            </w:pPr>
            <w:r w:rsidDel="00000000" w:rsidR="00000000" w:rsidRPr="00000000">
              <w:rPr>
                <w:rtl w:val="0"/>
              </w:rPr>
              <w:t xml:space="preserve">31126,75</w:t>
            </w:r>
          </w:p>
        </w:tc>
        <w:tc>
          <w:tcPr>
            <w:tcBorders>
              <w:top w:color="cccccc" w:space="0" w:sz="5" w:val="single"/>
              <w:left w:color="cccccc" w:space="0" w:sz="5" w:val="single"/>
              <w:bottom w:color="cccccc" w:space="0" w:sz="5" w:val="single"/>
              <w:right w:color="cccccc" w:space="0" w:sz="5" w:val="single"/>
            </w:tcBorders>
            <w:shd w:fill="bde5d1" w:val="clear"/>
            <w:tcMar>
              <w:top w:w="0.0" w:type="dxa"/>
              <w:left w:w="40.0" w:type="dxa"/>
              <w:bottom w:w="0.0" w:type="dxa"/>
              <w:right w:w="40.0" w:type="dxa"/>
            </w:tcMar>
            <w:vAlign w:val="center"/>
          </w:tcPr>
          <w:p w:rsidR="00000000" w:rsidDel="00000000" w:rsidP="00000000" w:rsidRDefault="00000000" w:rsidRPr="00000000" w14:paraId="00000028">
            <w:pPr>
              <w:widowControl w:val="0"/>
              <w:jc w:val="center"/>
              <w:rPr/>
            </w:pPr>
            <w:r w:rsidDel="00000000" w:rsidR="00000000" w:rsidRPr="00000000">
              <w:rPr>
                <w:rtl w:val="0"/>
              </w:rPr>
              <w:t xml:space="preserve">27770</w:t>
            </w:r>
          </w:p>
        </w:tc>
        <w:tc>
          <w:tcPr>
            <w:tcBorders>
              <w:top w:color="cccccc" w:space="0" w:sz="5" w:val="single"/>
              <w:left w:color="cccccc" w:space="0" w:sz="5" w:val="single"/>
              <w:bottom w:color="cccccc" w:space="0" w:sz="5" w:val="single"/>
              <w:right w:color="cccccc" w:space="0" w:sz="5" w:val="single"/>
            </w:tcBorders>
            <w:shd w:fill="f7d6d4" w:val="clear"/>
            <w:tcMar>
              <w:top w:w="0.0" w:type="dxa"/>
              <w:left w:w="40.0" w:type="dxa"/>
              <w:bottom w:w="0.0" w:type="dxa"/>
              <w:right w:w="40.0" w:type="dxa"/>
            </w:tcMar>
            <w:vAlign w:val="center"/>
          </w:tcPr>
          <w:p w:rsidR="00000000" w:rsidDel="00000000" w:rsidP="00000000" w:rsidRDefault="00000000" w:rsidRPr="00000000" w14:paraId="00000029">
            <w:pPr>
              <w:widowControl w:val="0"/>
              <w:jc w:val="center"/>
              <w:rPr/>
            </w:pPr>
            <w:r w:rsidDel="00000000" w:rsidR="00000000" w:rsidRPr="00000000">
              <w:rPr>
                <w:rtl w:val="0"/>
              </w:rPr>
              <w:t xml:space="preserve">23398,75</w:t>
            </w:r>
          </w:p>
        </w:tc>
        <w:tc>
          <w:tcPr>
            <w:tcBorders>
              <w:top w:color="cccccc" w:space="0" w:sz="5" w:val="single"/>
              <w:left w:color="cccccc" w:space="0" w:sz="5" w:val="single"/>
              <w:bottom w:color="cccccc" w:space="0" w:sz="5" w:val="single"/>
              <w:right w:color="cccccc" w:space="0" w:sz="5" w:val="single"/>
            </w:tcBorders>
            <w:shd w:fill="e67c73" w:val="clear"/>
            <w:tcMar>
              <w:top w:w="0.0" w:type="dxa"/>
              <w:left w:w="40.0" w:type="dxa"/>
              <w:bottom w:w="0.0" w:type="dxa"/>
              <w:right w:w="40.0" w:type="dxa"/>
            </w:tcMar>
            <w:vAlign w:val="center"/>
          </w:tcPr>
          <w:p w:rsidR="00000000" w:rsidDel="00000000" w:rsidP="00000000" w:rsidRDefault="00000000" w:rsidRPr="00000000" w14:paraId="0000002A">
            <w:pPr>
              <w:widowControl w:val="0"/>
              <w:jc w:val="center"/>
              <w:rPr/>
            </w:pPr>
            <w:r w:rsidDel="00000000" w:rsidR="00000000" w:rsidRPr="00000000">
              <w:rPr>
                <w:rtl w:val="0"/>
              </w:rPr>
              <w:t xml:space="preserve">18450,5</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2B">
            <w:pPr>
              <w:widowControl w:val="0"/>
              <w:jc w:val="center"/>
              <w:rPr/>
            </w:pPr>
            <w:r w:rsidDel="00000000" w:rsidR="00000000" w:rsidRPr="00000000">
              <w:rPr>
                <w:b w:val="1"/>
                <w:rtl w:val="0"/>
              </w:rPr>
              <w:t xml:space="preserve">Calidad de vida</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57bb8a" w:val="clear"/>
            <w:tcMar>
              <w:top w:w="0.0" w:type="dxa"/>
              <w:left w:w="40.0" w:type="dxa"/>
              <w:bottom w:w="0.0" w:type="dxa"/>
              <w:right w:w="40.0" w:type="dxa"/>
            </w:tcMar>
            <w:vAlign w:val="center"/>
          </w:tcPr>
          <w:p w:rsidR="00000000" w:rsidDel="00000000" w:rsidP="00000000" w:rsidRDefault="00000000" w:rsidRPr="00000000" w14:paraId="0000002C">
            <w:pPr>
              <w:widowControl w:val="0"/>
              <w:jc w:val="center"/>
              <w:rPr/>
            </w:pPr>
            <w:r w:rsidDel="00000000" w:rsidR="00000000" w:rsidRPr="00000000">
              <w:rPr>
                <w:rtl w:val="0"/>
              </w:rPr>
              <w:t xml:space="preserve">78,25</w:t>
            </w:r>
          </w:p>
        </w:tc>
        <w:tc>
          <w:tcPr>
            <w:tcBorders>
              <w:top w:color="cccccc" w:space="0" w:sz="5" w:val="single"/>
              <w:left w:color="cccccc" w:space="0" w:sz="5" w:val="single"/>
              <w:bottom w:color="cccccc" w:space="0" w:sz="5" w:val="single"/>
              <w:right w:color="cccccc" w:space="0" w:sz="5" w:val="single"/>
            </w:tcBorders>
            <w:shd w:fill="9ed8bb" w:val="clear"/>
            <w:tcMar>
              <w:top w:w="0.0" w:type="dxa"/>
              <w:left w:w="40.0" w:type="dxa"/>
              <w:bottom w:w="0.0" w:type="dxa"/>
              <w:right w:w="40.0" w:type="dxa"/>
            </w:tcMar>
            <w:vAlign w:val="center"/>
          </w:tcPr>
          <w:p w:rsidR="00000000" w:rsidDel="00000000" w:rsidP="00000000" w:rsidRDefault="00000000" w:rsidRPr="00000000" w14:paraId="0000002D">
            <w:pPr>
              <w:widowControl w:val="0"/>
              <w:jc w:val="center"/>
              <w:rPr/>
            </w:pPr>
            <w:r w:rsidDel="00000000" w:rsidR="00000000" w:rsidRPr="00000000">
              <w:rPr>
                <w:rtl w:val="0"/>
              </w:rPr>
              <w:t xml:space="preserve">75,806</w:t>
            </w:r>
          </w:p>
        </w:tc>
        <w:tc>
          <w:tcPr>
            <w:tcBorders>
              <w:top w:color="cccccc" w:space="0" w:sz="5" w:val="single"/>
              <w:left w:color="cccccc" w:space="0" w:sz="5" w:val="single"/>
              <w:bottom w:color="cccccc" w:space="0" w:sz="5" w:val="single"/>
              <w:right w:color="cccccc" w:space="0" w:sz="5" w:val="single"/>
            </w:tcBorders>
            <w:shd w:fill="f8dbd8" w:val="clear"/>
            <w:tcMar>
              <w:top w:w="0.0" w:type="dxa"/>
              <w:left w:w="40.0" w:type="dxa"/>
              <w:bottom w:w="0.0" w:type="dxa"/>
              <w:right w:w="40.0" w:type="dxa"/>
            </w:tcMar>
            <w:vAlign w:val="center"/>
          </w:tcPr>
          <w:p w:rsidR="00000000" w:rsidDel="00000000" w:rsidP="00000000" w:rsidRDefault="00000000" w:rsidRPr="00000000" w14:paraId="0000002E">
            <w:pPr>
              <w:widowControl w:val="0"/>
              <w:jc w:val="center"/>
              <w:rPr/>
            </w:pPr>
            <w:r w:rsidDel="00000000" w:rsidR="00000000" w:rsidRPr="00000000">
              <w:rPr>
                <w:rtl w:val="0"/>
              </w:rPr>
              <w:t xml:space="preserve">69,01</w:t>
            </w:r>
          </w:p>
        </w:tc>
        <w:tc>
          <w:tcPr>
            <w:tcBorders>
              <w:top w:color="cccccc" w:space="0" w:sz="5" w:val="single"/>
              <w:left w:color="cccccc" w:space="0" w:sz="5" w:val="single"/>
              <w:bottom w:color="cccccc" w:space="0" w:sz="5" w:val="single"/>
              <w:right w:color="cccccc" w:space="0" w:sz="5" w:val="single"/>
            </w:tcBorders>
            <w:shd w:fill="e67c73" w:val="clear"/>
            <w:tcMar>
              <w:top w:w="0.0" w:type="dxa"/>
              <w:left w:w="40.0" w:type="dxa"/>
              <w:bottom w:w="0.0" w:type="dxa"/>
              <w:right w:w="40.0" w:type="dxa"/>
            </w:tcMar>
            <w:vAlign w:val="center"/>
          </w:tcPr>
          <w:p w:rsidR="00000000" w:rsidDel="00000000" w:rsidP="00000000" w:rsidRDefault="00000000" w:rsidRPr="00000000" w14:paraId="0000002F">
            <w:pPr>
              <w:widowControl w:val="0"/>
              <w:jc w:val="center"/>
              <w:rPr/>
            </w:pPr>
            <w:r w:rsidDel="00000000" w:rsidR="00000000" w:rsidRPr="00000000">
              <w:rPr>
                <w:rtl w:val="0"/>
              </w:rPr>
              <w:t xml:space="preserve">59,96</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30">
            <w:pPr>
              <w:widowControl w:val="0"/>
              <w:jc w:val="center"/>
              <w:rPr/>
            </w:pPr>
            <w:r w:rsidDel="00000000" w:rsidR="00000000" w:rsidRPr="00000000">
              <w:rPr>
                <w:b w:val="1"/>
                <w:rtl w:val="0"/>
              </w:rPr>
              <w:t xml:space="preserve">Seguridad</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57bb8a" w:val="clear"/>
            <w:tcMar>
              <w:top w:w="0.0" w:type="dxa"/>
              <w:left w:w="40.0" w:type="dxa"/>
              <w:bottom w:w="0.0" w:type="dxa"/>
              <w:right w:w="40.0" w:type="dxa"/>
            </w:tcMar>
            <w:vAlign w:val="center"/>
          </w:tcPr>
          <w:p w:rsidR="00000000" w:rsidDel="00000000" w:rsidP="00000000" w:rsidRDefault="00000000" w:rsidRPr="00000000" w14:paraId="00000031">
            <w:pPr>
              <w:widowControl w:val="0"/>
              <w:jc w:val="center"/>
              <w:rPr/>
            </w:pPr>
            <w:r w:rsidDel="00000000" w:rsidR="00000000" w:rsidRPr="00000000">
              <w:rPr>
                <w:rtl w:val="0"/>
              </w:rPr>
              <w:t xml:space="preserve">82,75</w:t>
            </w:r>
          </w:p>
        </w:tc>
        <w:tc>
          <w:tcPr>
            <w:tcBorders>
              <w:top w:color="cccccc" w:space="0" w:sz="5" w:val="single"/>
              <w:left w:color="cccccc" w:space="0" w:sz="5" w:val="single"/>
              <w:bottom w:color="cccccc" w:space="0" w:sz="5" w:val="single"/>
              <w:right w:color="cccccc" w:space="0" w:sz="5" w:val="single"/>
            </w:tcBorders>
            <w:shd w:fill="a7dcc2" w:val="clear"/>
            <w:tcMar>
              <w:top w:w="0.0" w:type="dxa"/>
              <w:left w:w="40.0" w:type="dxa"/>
              <w:bottom w:w="0.0" w:type="dxa"/>
              <w:right w:w="40.0" w:type="dxa"/>
            </w:tcMar>
            <w:vAlign w:val="center"/>
          </w:tcPr>
          <w:p w:rsidR="00000000" w:rsidDel="00000000" w:rsidP="00000000" w:rsidRDefault="00000000" w:rsidRPr="00000000" w14:paraId="00000032">
            <w:pPr>
              <w:widowControl w:val="0"/>
              <w:jc w:val="center"/>
              <w:rPr/>
            </w:pPr>
            <w:r w:rsidDel="00000000" w:rsidR="00000000" w:rsidRPr="00000000">
              <w:rPr>
                <w:rtl w:val="0"/>
              </w:rPr>
              <w:t xml:space="preserve">80,1</w:t>
            </w:r>
          </w:p>
        </w:tc>
        <w:tc>
          <w:tcPr>
            <w:tcBorders>
              <w:top w:color="cccccc" w:space="0" w:sz="5" w:val="single"/>
              <w:left w:color="cccccc" w:space="0" w:sz="5" w:val="single"/>
              <w:bottom w:color="cccccc" w:space="0" w:sz="5" w:val="single"/>
              <w:right w:color="cccccc" w:space="0" w:sz="5" w:val="single"/>
            </w:tcBorders>
            <w:shd w:fill="f9e1df" w:val="clear"/>
            <w:tcMar>
              <w:top w:w="0.0" w:type="dxa"/>
              <w:left w:w="40.0" w:type="dxa"/>
              <w:bottom w:w="0.0" w:type="dxa"/>
              <w:right w:w="40.0" w:type="dxa"/>
            </w:tcMar>
            <w:vAlign w:val="center"/>
          </w:tcPr>
          <w:p w:rsidR="00000000" w:rsidDel="00000000" w:rsidP="00000000" w:rsidRDefault="00000000" w:rsidRPr="00000000" w14:paraId="00000033">
            <w:pPr>
              <w:widowControl w:val="0"/>
              <w:jc w:val="center"/>
              <w:rPr/>
            </w:pPr>
            <w:r w:rsidDel="00000000" w:rsidR="00000000" w:rsidRPr="00000000">
              <w:rPr>
                <w:rtl w:val="0"/>
              </w:rPr>
              <w:t xml:space="preserve">74,1875</w:t>
            </w:r>
          </w:p>
        </w:tc>
        <w:tc>
          <w:tcPr>
            <w:tcBorders>
              <w:top w:color="cccccc" w:space="0" w:sz="5" w:val="single"/>
              <w:left w:color="cccccc" w:space="0" w:sz="5" w:val="single"/>
              <w:bottom w:color="cccccc" w:space="0" w:sz="5" w:val="single"/>
              <w:right w:color="cccccc" w:space="0" w:sz="5" w:val="single"/>
            </w:tcBorders>
            <w:shd w:fill="e67c73" w:val="clear"/>
            <w:tcMar>
              <w:top w:w="0.0" w:type="dxa"/>
              <w:left w:w="40.0" w:type="dxa"/>
              <w:bottom w:w="0.0" w:type="dxa"/>
              <w:right w:w="40.0" w:type="dxa"/>
            </w:tcMar>
            <w:vAlign w:val="center"/>
          </w:tcPr>
          <w:p w:rsidR="00000000" w:rsidDel="00000000" w:rsidP="00000000" w:rsidRDefault="00000000" w:rsidRPr="00000000" w14:paraId="00000034">
            <w:pPr>
              <w:widowControl w:val="0"/>
              <w:jc w:val="center"/>
              <w:rPr/>
            </w:pPr>
            <w:r w:rsidDel="00000000" w:rsidR="00000000" w:rsidRPr="00000000">
              <w:rPr>
                <w:rtl w:val="0"/>
              </w:rPr>
              <w:t xml:space="preserve">64</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35">
            <w:pPr>
              <w:widowControl w:val="0"/>
              <w:jc w:val="center"/>
              <w:rPr/>
            </w:pPr>
            <w:r w:rsidDel="00000000" w:rsidR="00000000" w:rsidRPr="00000000">
              <w:rPr>
                <w:b w:val="1"/>
                <w:rtl w:val="0"/>
              </w:rPr>
              <w:t xml:space="preserve">Zonas verdes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67c73" w:val="clear"/>
            <w:tcMar>
              <w:top w:w="0.0" w:type="dxa"/>
              <w:left w:w="40.0" w:type="dxa"/>
              <w:bottom w:w="0.0" w:type="dxa"/>
              <w:right w:w="40.0" w:type="dxa"/>
            </w:tcMar>
            <w:vAlign w:val="center"/>
          </w:tcPr>
          <w:p w:rsidR="00000000" w:rsidDel="00000000" w:rsidP="00000000" w:rsidRDefault="00000000" w:rsidRPr="00000000" w14:paraId="00000036">
            <w:pPr>
              <w:widowControl w:val="0"/>
              <w:jc w:val="center"/>
              <w:rPr/>
            </w:pPr>
            <w:r w:rsidDel="00000000" w:rsidR="00000000" w:rsidRPr="00000000">
              <w:rPr>
                <w:rtl w:val="0"/>
              </w:rPr>
              <w:t xml:space="preserve">64,93</w:t>
            </w:r>
          </w:p>
        </w:tc>
        <w:tc>
          <w:tcPr>
            <w:tcBorders>
              <w:top w:color="cccccc" w:space="0" w:sz="5" w:val="single"/>
              <w:left w:color="cccccc" w:space="0" w:sz="5" w:val="single"/>
              <w:bottom w:color="cccccc" w:space="0" w:sz="5" w:val="single"/>
              <w:right w:color="cccccc" w:space="0" w:sz="5" w:val="single"/>
            </w:tcBorders>
            <w:shd w:fill="57bb8a" w:val="clear"/>
            <w:tcMar>
              <w:top w:w="0.0" w:type="dxa"/>
              <w:left w:w="40.0" w:type="dxa"/>
              <w:bottom w:w="0.0" w:type="dxa"/>
              <w:right w:w="40.0" w:type="dxa"/>
            </w:tcMar>
            <w:vAlign w:val="center"/>
          </w:tcPr>
          <w:p w:rsidR="00000000" w:rsidDel="00000000" w:rsidP="00000000" w:rsidRDefault="00000000" w:rsidRPr="00000000" w14:paraId="00000037">
            <w:pPr>
              <w:widowControl w:val="0"/>
              <w:jc w:val="center"/>
              <w:rPr/>
            </w:pPr>
            <w:r w:rsidDel="00000000" w:rsidR="00000000" w:rsidRPr="00000000">
              <w:rPr>
                <w:rtl w:val="0"/>
              </w:rPr>
              <w:t xml:space="preserve">676,08</w:t>
            </w:r>
          </w:p>
        </w:tc>
        <w:tc>
          <w:tcPr>
            <w:tcBorders>
              <w:top w:color="cccccc" w:space="0" w:sz="5" w:val="single"/>
              <w:left w:color="cccccc" w:space="0" w:sz="5" w:val="single"/>
              <w:bottom w:color="cccccc" w:space="0" w:sz="5" w:val="single"/>
              <w:right w:color="cccccc" w:space="0" w:sz="5" w:val="single"/>
            </w:tcBorders>
            <w:shd w:fill="f8dbd9" w:val="clear"/>
            <w:tcMar>
              <w:top w:w="0.0" w:type="dxa"/>
              <w:left w:w="40.0" w:type="dxa"/>
              <w:bottom w:w="0.0" w:type="dxa"/>
              <w:right w:w="40.0" w:type="dxa"/>
            </w:tcMar>
            <w:vAlign w:val="center"/>
          </w:tcPr>
          <w:p w:rsidR="00000000" w:rsidDel="00000000" w:rsidP="00000000" w:rsidRDefault="00000000" w:rsidRPr="00000000" w14:paraId="00000038">
            <w:pPr>
              <w:widowControl w:val="0"/>
              <w:jc w:val="center"/>
              <w:rPr/>
            </w:pPr>
            <w:r w:rsidDel="00000000" w:rsidR="00000000" w:rsidRPr="00000000">
              <w:rPr>
                <w:rtl w:val="0"/>
              </w:rPr>
              <w:t xml:space="preserve">172,6925</w:t>
            </w:r>
          </w:p>
        </w:tc>
        <w:tc>
          <w:tcPr>
            <w:tcBorders>
              <w:top w:color="cccccc" w:space="0" w:sz="5" w:val="single"/>
              <w:left w:color="cccccc" w:space="0" w:sz="5" w:val="single"/>
              <w:bottom w:color="cccccc" w:space="0" w:sz="5" w:val="single"/>
              <w:right w:color="cccccc" w:space="0" w:sz="5" w:val="single"/>
            </w:tcBorders>
            <w:shd w:fill="f1faf5" w:val="clear"/>
            <w:tcMar>
              <w:top w:w="0.0" w:type="dxa"/>
              <w:left w:w="40.0" w:type="dxa"/>
              <w:bottom w:w="0.0" w:type="dxa"/>
              <w:right w:w="40.0" w:type="dxa"/>
            </w:tcMar>
            <w:vAlign w:val="center"/>
          </w:tcPr>
          <w:p w:rsidR="00000000" w:rsidDel="00000000" w:rsidP="00000000" w:rsidRDefault="00000000" w:rsidRPr="00000000" w14:paraId="00000039">
            <w:pPr>
              <w:widowControl w:val="0"/>
              <w:jc w:val="center"/>
              <w:rPr/>
            </w:pPr>
            <w:r w:rsidDel="00000000" w:rsidR="00000000" w:rsidRPr="00000000">
              <w:rPr>
                <w:rtl w:val="0"/>
              </w:rPr>
              <w:t xml:space="preserve">252,45</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3A">
            <w:pPr>
              <w:widowControl w:val="0"/>
              <w:jc w:val="center"/>
              <w:rPr/>
            </w:pPr>
            <w:r w:rsidDel="00000000" w:rsidR="00000000" w:rsidRPr="00000000">
              <w:rPr>
                <w:b w:val="1"/>
                <w:rtl w:val="0"/>
              </w:rPr>
              <w:t xml:space="preserve">Padrón</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67c73" w:val="clear"/>
            <w:tcMar>
              <w:top w:w="0.0" w:type="dxa"/>
              <w:left w:w="40.0" w:type="dxa"/>
              <w:bottom w:w="0.0" w:type="dxa"/>
              <w:right w:w="40.0" w:type="dxa"/>
            </w:tcMar>
            <w:vAlign w:val="center"/>
          </w:tcPr>
          <w:p w:rsidR="00000000" w:rsidDel="00000000" w:rsidP="00000000" w:rsidRDefault="00000000" w:rsidRPr="00000000" w14:paraId="0000003B">
            <w:pPr>
              <w:widowControl w:val="0"/>
              <w:jc w:val="center"/>
              <w:rPr/>
            </w:pPr>
            <w:r w:rsidDel="00000000" w:rsidR="00000000" w:rsidRPr="00000000">
              <w:rPr>
                <w:rtl w:val="0"/>
              </w:rPr>
              <w:t xml:space="preserve">136976,75</w:t>
            </w:r>
          </w:p>
        </w:tc>
        <w:tc>
          <w:tcPr>
            <w:tcBorders>
              <w:top w:color="cccccc" w:space="0" w:sz="5" w:val="single"/>
              <w:left w:color="cccccc" w:space="0" w:sz="5" w:val="single"/>
              <w:bottom w:color="cccccc" w:space="0" w:sz="5" w:val="single"/>
              <w:right w:color="cccccc" w:space="0" w:sz="5" w:val="single"/>
            </w:tcBorders>
            <w:shd w:fill="fcfefd" w:val="clear"/>
            <w:tcMar>
              <w:top w:w="0.0" w:type="dxa"/>
              <w:left w:w="40.0" w:type="dxa"/>
              <w:bottom w:w="0.0" w:type="dxa"/>
              <w:right w:w="40.0" w:type="dxa"/>
            </w:tcMar>
            <w:vAlign w:val="center"/>
          </w:tcPr>
          <w:p w:rsidR="00000000" w:rsidDel="00000000" w:rsidP="00000000" w:rsidRDefault="00000000" w:rsidRPr="00000000" w14:paraId="0000003C">
            <w:pPr>
              <w:widowControl w:val="0"/>
              <w:jc w:val="center"/>
              <w:rPr/>
            </w:pPr>
            <w:r w:rsidDel="00000000" w:rsidR="00000000" w:rsidRPr="00000000">
              <w:rPr>
                <w:rtl w:val="0"/>
              </w:rPr>
              <w:t xml:space="preserve">154342,8</w:t>
            </w:r>
          </w:p>
        </w:tc>
        <w:tc>
          <w:tcPr>
            <w:tcBorders>
              <w:top w:color="cccccc" w:space="0" w:sz="5" w:val="single"/>
              <w:left w:color="cccccc" w:space="0" w:sz="5" w:val="single"/>
              <w:bottom w:color="cccccc" w:space="0" w:sz="5" w:val="single"/>
              <w:right w:color="cccccc" w:space="0" w:sz="5" w:val="single"/>
            </w:tcBorders>
            <w:shd w:fill="fdf6f5" w:val="clear"/>
            <w:tcMar>
              <w:top w:w="0.0" w:type="dxa"/>
              <w:left w:w="40.0" w:type="dxa"/>
              <w:bottom w:w="0.0" w:type="dxa"/>
              <w:right w:w="40.0" w:type="dxa"/>
            </w:tcMar>
            <w:vAlign w:val="center"/>
          </w:tcPr>
          <w:p w:rsidR="00000000" w:rsidDel="00000000" w:rsidP="00000000" w:rsidRDefault="00000000" w:rsidRPr="00000000" w14:paraId="0000003D">
            <w:pPr>
              <w:widowControl w:val="0"/>
              <w:jc w:val="center"/>
              <w:rPr/>
            </w:pPr>
            <w:r w:rsidDel="00000000" w:rsidR="00000000" w:rsidRPr="00000000">
              <w:rPr>
                <w:rtl w:val="0"/>
              </w:rPr>
              <w:t xml:space="preserve">152139,12</w:t>
            </w:r>
          </w:p>
        </w:tc>
        <w:tc>
          <w:tcPr>
            <w:tcBorders>
              <w:top w:color="cccccc" w:space="0" w:sz="5" w:val="single"/>
              <w:left w:color="cccccc" w:space="0" w:sz="5" w:val="single"/>
              <w:bottom w:color="cccccc" w:space="0" w:sz="5" w:val="single"/>
              <w:right w:color="cccccc" w:space="0" w:sz="5" w:val="single"/>
            </w:tcBorders>
            <w:shd w:fill="57bb8a" w:val="clear"/>
            <w:tcMar>
              <w:top w:w="0.0" w:type="dxa"/>
              <w:left w:w="40.0" w:type="dxa"/>
              <w:bottom w:w="0.0" w:type="dxa"/>
              <w:right w:w="40.0" w:type="dxa"/>
            </w:tcMar>
            <w:vAlign w:val="center"/>
          </w:tcPr>
          <w:p w:rsidR="00000000" w:rsidDel="00000000" w:rsidP="00000000" w:rsidRDefault="00000000" w:rsidRPr="00000000" w14:paraId="0000003E">
            <w:pPr>
              <w:widowControl w:val="0"/>
              <w:jc w:val="center"/>
              <w:rPr/>
            </w:pPr>
            <w:r w:rsidDel="00000000" w:rsidR="00000000" w:rsidRPr="00000000">
              <w:rPr>
                <w:rtl w:val="0"/>
              </w:rPr>
              <w:t xml:space="preserve">201324</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3F">
            <w:pPr>
              <w:widowControl w:val="0"/>
              <w:jc w:val="center"/>
              <w:rPr/>
            </w:pPr>
            <w:r w:rsidDel="00000000" w:rsidR="00000000" w:rsidRPr="00000000">
              <w:rPr>
                <w:b w:val="1"/>
                <w:rtl w:val="0"/>
              </w:rPr>
              <w:t xml:space="preserve">Índice de Paro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67c73" w:val="clear"/>
            <w:tcMar>
              <w:top w:w="0.0" w:type="dxa"/>
              <w:left w:w="40.0" w:type="dxa"/>
              <w:bottom w:w="0.0" w:type="dxa"/>
              <w:right w:w="40.0" w:type="dxa"/>
            </w:tcMar>
            <w:vAlign w:val="center"/>
          </w:tcPr>
          <w:p w:rsidR="00000000" w:rsidDel="00000000" w:rsidP="00000000" w:rsidRDefault="00000000" w:rsidRPr="00000000" w14:paraId="00000040">
            <w:pPr>
              <w:widowControl w:val="0"/>
              <w:jc w:val="center"/>
              <w:rPr/>
            </w:pPr>
            <w:r w:rsidDel="00000000" w:rsidR="00000000" w:rsidRPr="00000000">
              <w:rPr>
                <w:rtl w:val="0"/>
              </w:rPr>
              <w:t xml:space="preserve">3,08</w:t>
            </w:r>
          </w:p>
        </w:tc>
        <w:tc>
          <w:tcPr>
            <w:tcBorders>
              <w:top w:color="cccccc" w:space="0" w:sz="5" w:val="single"/>
              <w:left w:color="cccccc" w:space="0" w:sz="5" w:val="single"/>
              <w:bottom w:color="cccccc" w:space="0" w:sz="5" w:val="single"/>
              <w:right w:color="cccccc" w:space="0" w:sz="5" w:val="single"/>
            </w:tcBorders>
            <w:shd w:fill="f0b0ab" w:val="clear"/>
            <w:tcMar>
              <w:top w:w="0.0" w:type="dxa"/>
              <w:left w:w="40.0" w:type="dxa"/>
              <w:bottom w:w="0.0" w:type="dxa"/>
              <w:right w:w="40.0" w:type="dxa"/>
            </w:tcMar>
            <w:vAlign w:val="center"/>
          </w:tcPr>
          <w:p w:rsidR="00000000" w:rsidDel="00000000" w:rsidP="00000000" w:rsidRDefault="00000000" w:rsidRPr="00000000" w14:paraId="00000041">
            <w:pPr>
              <w:widowControl w:val="0"/>
              <w:jc w:val="center"/>
              <w:rPr/>
            </w:pPr>
            <w:r w:rsidDel="00000000" w:rsidR="00000000" w:rsidRPr="00000000">
              <w:rPr>
                <w:rtl w:val="0"/>
              </w:rPr>
              <w:t xml:space="preserve">3,62</w:t>
            </w:r>
          </w:p>
        </w:tc>
        <w:tc>
          <w:tcPr>
            <w:tcBorders>
              <w:top w:color="cccccc" w:space="0" w:sz="5" w:val="single"/>
              <w:left w:color="cccccc" w:space="0" w:sz="5" w:val="single"/>
              <w:bottom w:color="cccccc" w:space="0" w:sz="5" w:val="single"/>
              <w:right w:color="cccccc" w:space="0" w:sz="5" w:val="single"/>
            </w:tcBorders>
            <w:shd w:fill="c1e6d4" w:val="clear"/>
            <w:tcMar>
              <w:top w:w="0.0" w:type="dxa"/>
              <w:left w:w="40.0" w:type="dxa"/>
              <w:bottom w:w="0.0" w:type="dxa"/>
              <w:right w:w="40.0" w:type="dxa"/>
            </w:tcMar>
            <w:vAlign w:val="center"/>
          </w:tcPr>
          <w:p w:rsidR="00000000" w:rsidDel="00000000" w:rsidP="00000000" w:rsidRDefault="00000000" w:rsidRPr="00000000" w14:paraId="00000042">
            <w:pPr>
              <w:widowControl w:val="0"/>
              <w:jc w:val="center"/>
              <w:rPr/>
            </w:pPr>
            <w:r w:rsidDel="00000000" w:rsidR="00000000" w:rsidRPr="00000000">
              <w:rPr>
                <w:rtl w:val="0"/>
              </w:rPr>
              <w:t xml:space="preserve">5,2125</w:t>
            </w:r>
          </w:p>
        </w:tc>
        <w:tc>
          <w:tcPr>
            <w:tcBorders>
              <w:top w:color="cccccc" w:space="0" w:sz="5" w:val="single"/>
              <w:left w:color="cccccc" w:space="0" w:sz="5" w:val="single"/>
              <w:bottom w:color="cccccc" w:space="0" w:sz="5" w:val="single"/>
              <w:right w:color="cccccc" w:space="0" w:sz="5" w:val="single"/>
            </w:tcBorders>
            <w:shd w:fill="57bb8a" w:val="clear"/>
            <w:tcMar>
              <w:top w:w="0.0" w:type="dxa"/>
              <w:left w:w="40.0" w:type="dxa"/>
              <w:bottom w:w="0.0" w:type="dxa"/>
              <w:right w:w="40.0" w:type="dxa"/>
            </w:tcMar>
            <w:vAlign w:val="center"/>
          </w:tcPr>
          <w:p w:rsidR="00000000" w:rsidDel="00000000" w:rsidP="00000000" w:rsidRDefault="00000000" w:rsidRPr="00000000" w14:paraId="00000043">
            <w:pPr>
              <w:widowControl w:val="0"/>
              <w:jc w:val="center"/>
              <w:rPr/>
            </w:pPr>
            <w:r w:rsidDel="00000000" w:rsidR="00000000" w:rsidRPr="00000000">
              <w:rPr>
                <w:rtl w:val="0"/>
              </w:rPr>
              <w:t xml:space="preserve">6,55</w:t>
            </w:r>
          </w:p>
        </w:tc>
      </w:tr>
      <w:tr>
        <w:trPr>
          <w:cantSplit w:val="0"/>
          <w:trHeight w:val="2235" w:hRule="atLeast"/>
          <w:tblHeader w:val="0"/>
        </w:trPr>
        <w:tc>
          <w:tcPr>
            <w:tcBorders>
              <w:top w:color="cccccc" w:space="0" w:sz="5" w:val="single"/>
              <w:left w:color="cccccc" w:space="0" w:sz="5" w:val="single"/>
              <w:bottom w:color="cccccc" w:space="0" w:sz="5" w:val="single"/>
              <w:right w:color="cccccc" w:space="0" w:sz="5" w:val="single"/>
            </w:tcBorders>
            <w:shd w:fill="d9d9d9" w:val="clear"/>
            <w:tcMar>
              <w:top w:w="0.0" w:type="dxa"/>
              <w:left w:w="40.0" w:type="dxa"/>
              <w:bottom w:w="0.0" w:type="dxa"/>
              <w:right w:w="40.0" w:type="dxa"/>
            </w:tcMar>
            <w:vAlign w:val="center"/>
          </w:tcPr>
          <w:p w:rsidR="00000000" w:rsidDel="00000000" w:rsidP="00000000" w:rsidRDefault="00000000" w:rsidRPr="00000000" w14:paraId="00000044">
            <w:pPr>
              <w:widowControl w:val="0"/>
              <w:jc w:val="center"/>
              <w:rPr/>
            </w:pPr>
            <w:r w:rsidDel="00000000" w:rsidR="00000000" w:rsidRPr="00000000">
              <w:rPr>
                <w:b w:val="1"/>
                <w:rtl w:val="0"/>
              </w:rPr>
              <w:t xml:space="preserve">Distritos</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fefef" w:val="clear"/>
            <w:tcMar>
              <w:top w:w="0.0" w:type="dxa"/>
              <w:left w:w="40.0" w:type="dxa"/>
              <w:bottom w:w="0.0" w:type="dxa"/>
              <w:right w:w="40.0" w:type="dxa"/>
            </w:tcMar>
            <w:vAlign w:val="top"/>
          </w:tcPr>
          <w:p w:rsidR="00000000" w:rsidDel="00000000" w:rsidP="00000000" w:rsidRDefault="00000000" w:rsidRPr="00000000" w14:paraId="00000045">
            <w:pPr>
              <w:widowControl w:val="0"/>
              <w:jc w:val="center"/>
              <w:rPr/>
            </w:pPr>
            <w:r w:rsidDel="00000000" w:rsidR="00000000" w:rsidRPr="00000000">
              <w:rPr>
                <w:rtl w:val="0"/>
              </w:rPr>
              <w:t xml:space="preserve">Chamartín,</w:t>
            </w:r>
          </w:p>
          <w:p w:rsidR="00000000" w:rsidDel="00000000" w:rsidP="00000000" w:rsidRDefault="00000000" w:rsidRPr="00000000" w14:paraId="00000046">
            <w:pPr>
              <w:widowControl w:val="0"/>
              <w:jc w:val="center"/>
              <w:rPr/>
            </w:pPr>
            <w:r w:rsidDel="00000000" w:rsidR="00000000" w:rsidRPr="00000000">
              <w:rPr>
                <w:rtl w:val="0"/>
              </w:rPr>
              <w:t xml:space="preserve">Chamberí,</w:t>
            </w:r>
          </w:p>
          <w:p w:rsidR="00000000" w:rsidDel="00000000" w:rsidP="00000000" w:rsidRDefault="00000000" w:rsidRPr="00000000" w14:paraId="00000047">
            <w:pPr>
              <w:widowControl w:val="0"/>
              <w:jc w:val="center"/>
              <w:rPr/>
            </w:pPr>
            <w:r w:rsidDel="00000000" w:rsidR="00000000" w:rsidRPr="00000000">
              <w:rPr>
                <w:rtl w:val="0"/>
              </w:rPr>
              <w:t xml:space="preserve">Retiro,</w:t>
            </w:r>
          </w:p>
          <w:p w:rsidR="00000000" w:rsidDel="00000000" w:rsidP="00000000" w:rsidRDefault="00000000" w:rsidRPr="00000000" w14:paraId="00000048">
            <w:pPr>
              <w:widowControl w:val="0"/>
              <w:jc w:val="center"/>
              <w:rPr/>
            </w:pPr>
            <w:r w:rsidDel="00000000" w:rsidR="00000000" w:rsidRPr="00000000">
              <w:rPr>
                <w:rtl w:val="0"/>
              </w:rPr>
              <w:t xml:space="preserve">Salamanca</w:t>
            </w:r>
          </w:p>
        </w:tc>
        <w:tc>
          <w:tcPr>
            <w:tcBorders>
              <w:top w:color="cccccc" w:space="0" w:sz="5" w:val="single"/>
              <w:left w:color="cccccc" w:space="0" w:sz="5" w:val="single"/>
              <w:bottom w:color="cccccc" w:space="0" w:sz="5" w:val="single"/>
              <w:right w:color="cccccc" w:space="0" w:sz="5" w:val="single"/>
            </w:tcBorders>
            <w:shd w:fill="efefef" w:val="clear"/>
            <w:tcMar>
              <w:top w:w="0.0" w:type="dxa"/>
              <w:left w:w="40.0" w:type="dxa"/>
              <w:bottom w:w="0.0" w:type="dxa"/>
              <w:right w:w="40.0" w:type="dxa"/>
            </w:tcMar>
            <w:vAlign w:val="top"/>
          </w:tcPr>
          <w:p w:rsidR="00000000" w:rsidDel="00000000" w:rsidP="00000000" w:rsidRDefault="00000000" w:rsidRPr="00000000" w14:paraId="00000049">
            <w:pPr>
              <w:widowControl w:val="0"/>
              <w:jc w:val="center"/>
              <w:rPr/>
            </w:pPr>
            <w:r w:rsidDel="00000000" w:rsidR="00000000" w:rsidRPr="00000000">
              <w:rPr>
                <w:rtl w:val="0"/>
              </w:rPr>
              <w:t xml:space="preserve">Arganzuela,</w:t>
            </w:r>
          </w:p>
          <w:p w:rsidR="00000000" w:rsidDel="00000000" w:rsidP="00000000" w:rsidRDefault="00000000" w:rsidRPr="00000000" w14:paraId="0000004A">
            <w:pPr>
              <w:widowControl w:val="0"/>
              <w:jc w:val="center"/>
              <w:rPr/>
            </w:pPr>
            <w:r w:rsidDel="00000000" w:rsidR="00000000" w:rsidRPr="00000000">
              <w:rPr>
                <w:rtl w:val="0"/>
              </w:rPr>
              <w:t xml:space="preserve">Barajas,</w:t>
            </w:r>
          </w:p>
          <w:p w:rsidR="00000000" w:rsidDel="00000000" w:rsidP="00000000" w:rsidRDefault="00000000" w:rsidRPr="00000000" w14:paraId="0000004B">
            <w:pPr>
              <w:widowControl w:val="0"/>
              <w:jc w:val="center"/>
              <w:rPr/>
            </w:pPr>
            <w:r w:rsidDel="00000000" w:rsidR="00000000" w:rsidRPr="00000000">
              <w:rPr>
                <w:rtl w:val="0"/>
              </w:rPr>
              <w:t xml:space="preserve">Fuencarral,</w:t>
            </w:r>
          </w:p>
          <w:p w:rsidR="00000000" w:rsidDel="00000000" w:rsidP="00000000" w:rsidRDefault="00000000" w:rsidRPr="00000000" w14:paraId="0000004C">
            <w:pPr>
              <w:widowControl w:val="0"/>
              <w:jc w:val="center"/>
              <w:rPr/>
            </w:pPr>
            <w:r w:rsidDel="00000000" w:rsidR="00000000" w:rsidRPr="00000000">
              <w:rPr>
                <w:rtl w:val="0"/>
              </w:rPr>
              <w:t xml:space="preserve">Hortaleza,</w:t>
            </w:r>
          </w:p>
          <w:p w:rsidR="00000000" w:rsidDel="00000000" w:rsidP="00000000" w:rsidRDefault="00000000" w:rsidRPr="00000000" w14:paraId="0000004D">
            <w:pPr>
              <w:widowControl w:val="0"/>
              <w:jc w:val="center"/>
              <w:rPr/>
            </w:pPr>
            <w:r w:rsidDel="00000000" w:rsidR="00000000" w:rsidRPr="00000000">
              <w:rPr>
                <w:rtl w:val="0"/>
              </w:rPr>
              <w:t xml:space="preserve">Moncloa</w:t>
            </w:r>
          </w:p>
        </w:tc>
        <w:tc>
          <w:tcPr>
            <w:tcBorders>
              <w:top w:color="cccccc" w:space="0" w:sz="5" w:val="single"/>
              <w:left w:color="cccccc" w:space="0" w:sz="5" w:val="single"/>
              <w:bottom w:color="cccccc" w:space="0" w:sz="5" w:val="single"/>
              <w:right w:color="cccccc" w:space="0" w:sz="5" w:val="single"/>
            </w:tcBorders>
            <w:shd w:fill="efefef" w:val="clear"/>
            <w:tcMar>
              <w:top w:w="0.0" w:type="dxa"/>
              <w:left w:w="40.0" w:type="dxa"/>
              <w:bottom w:w="0.0" w:type="dxa"/>
              <w:right w:w="40.0" w:type="dxa"/>
            </w:tcMar>
            <w:vAlign w:val="top"/>
          </w:tcPr>
          <w:p w:rsidR="00000000" w:rsidDel="00000000" w:rsidP="00000000" w:rsidRDefault="00000000" w:rsidRPr="00000000" w14:paraId="0000004E">
            <w:pPr>
              <w:widowControl w:val="0"/>
              <w:jc w:val="center"/>
              <w:rPr/>
            </w:pPr>
            <w:r w:rsidDel="00000000" w:rsidR="00000000" w:rsidRPr="00000000">
              <w:rPr>
                <w:rtl w:val="0"/>
              </w:rPr>
              <w:t xml:space="preserve">Centro,</w:t>
            </w:r>
          </w:p>
          <w:p w:rsidR="00000000" w:rsidDel="00000000" w:rsidP="00000000" w:rsidRDefault="00000000" w:rsidRPr="00000000" w14:paraId="0000004F">
            <w:pPr>
              <w:widowControl w:val="0"/>
              <w:jc w:val="center"/>
              <w:rPr/>
            </w:pPr>
            <w:r w:rsidDel="00000000" w:rsidR="00000000" w:rsidRPr="00000000">
              <w:rPr>
                <w:rtl w:val="0"/>
              </w:rPr>
              <w:t xml:space="preserve">Ciudad lineal,</w:t>
            </w:r>
          </w:p>
          <w:p w:rsidR="00000000" w:rsidDel="00000000" w:rsidP="00000000" w:rsidRDefault="00000000" w:rsidRPr="00000000" w14:paraId="00000050">
            <w:pPr>
              <w:widowControl w:val="0"/>
              <w:jc w:val="center"/>
              <w:rPr/>
            </w:pPr>
            <w:r w:rsidDel="00000000" w:rsidR="00000000" w:rsidRPr="00000000">
              <w:rPr>
                <w:rtl w:val="0"/>
              </w:rPr>
              <w:t xml:space="preserve">Latina,</w:t>
            </w:r>
          </w:p>
          <w:p w:rsidR="00000000" w:rsidDel="00000000" w:rsidP="00000000" w:rsidRDefault="00000000" w:rsidRPr="00000000" w14:paraId="00000051">
            <w:pPr>
              <w:widowControl w:val="0"/>
              <w:jc w:val="center"/>
              <w:rPr/>
            </w:pPr>
            <w:r w:rsidDel="00000000" w:rsidR="00000000" w:rsidRPr="00000000">
              <w:rPr>
                <w:rtl w:val="0"/>
              </w:rPr>
              <w:t xml:space="preserve">Moratalaz,</w:t>
            </w:r>
          </w:p>
          <w:p w:rsidR="00000000" w:rsidDel="00000000" w:rsidP="00000000" w:rsidRDefault="00000000" w:rsidRPr="00000000" w14:paraId="00000052">
            <w:pPr>
              <w:widowControl w:val="0"/>
              <w:jc w:val="center"/>
              <w:rPr/>
            </w:pPr>
            <w:r w:rsidDel="00000000" w:rsidR="00000000" w:rsidRPr="00000000">
              <w:rPr>
                <w:rtl w:val="0"/>
              </w:rPr>
              <w:t xml:space="preserve">San Blas,</w:t>
            </w:r>
          </w:p>
          <w:p w:rsidR="00000000" w:rsidDel="00000000" w:rsidP="00000000" w:rsidRDefault="00000000" w:rsidRPr="00000000" w14:paraId="00000053">
            <w:pPr>
              <w:widowControl w:val="0"/>
              <w:jc w:val="center"/>
              <w:rPr/>
            </w:pPr>
            <w:r w:rsidDel="00000000" w:rsidR="00000000" w:rsidRPr="00000000">
              <w:rPr>
                <w:rtl w:val="0"/>
              </w:rPr>
              <w:t xml:space="preserve">Tetuán,</w:t>
            </w:r>
          </w:p>
          <w:p w:rsidR="00000000" w:rsidDel="00000000" w:rsidP="00000000" w:rsidRDefault="00000000" w:rsidRPr="00000000" w14:paraId="00000054">
            <w:pPr>
              <w:widowControl w:val="0"/>
              <w:jc w:val="center"/>
              <w:rPr/>
            </w:pPr>
            <w:r w:rsidDel="00000000" w:rsidR="00000000" w:rsidRPr="00000000">
              <w:rPr>
                <w:rtl w:val="0"/>
              </w:rPr>
              <w:t xml:space="preserve">Vicálvaro,</w:t>
            </w:r>
          </w:p>
          <w:p w:rsidR="00000000" w:rsidDel="00000000" w:rsidP="00000000" w:rsidRDefault="00000000" w:rsidRPr="00000000" w14:paraId="00000055">
            <w:pPr>
              <w:widowControl w:val="0"/>
              <w:jc w:val="center"/>
              <w:rPr/>
            </w:pPr>
            <w:r w:rsidDel="00000000" w:rsidR="00000000" w:rsidRPr="00000000">
              <w:rPr>
                <w:rtl w:val="0"/>
              </w:rPr>
              <w:t xml:space="preserve">Villa Vallecas</w:t>
            </w:r>
          </w:p>
        </w:tc>
        <w:tc>
          <w:tcPr>
            <w:tcBorders>
              <w:top w:color="cccccc" w:space="0" w:sz="5" w:val="single"/>
              <w:left w:color="cccccc" w:space="0" w:sz="5" w:val="single"/>
              <w:bottom w:color="cccccc" w:space="0" w:sz="5" w:val="single"/>
              <w:right w:color="cccccc" w:space="0" w:sz="5" w:val="single"/>
            </w:tcBorders>
            <w:shd w:fill="efefef" w:val="clear"/>
            <w:tcMar>
              <w:top w:w="0.0" w:type="dxa"/>
              <w:left w:w="40.0" w:type="dxa"/>
              <w:bottom w:w="0.0" w:type="dxa"/>
              <w:right w:w="40.0" w:type="dxa"/>
            </w:tcMar>
            <w:vAlign w:val="top"/>
          </w:tcPr>
          <w:p w:rsidR="00000000" w:rsidDel="00000000" w:rsidP="00000000" w:rsidRDefault="00000000" w:rsidRPr="00000000" w14:paraId="00000056">
            <w:pPr>
              <w:widowControl w:val="0"/>
              <w:jc w:val="center"/>
              <w:rPr/>
            </w:pPr>
            <w:r w:rsidDel="00000000" w:rsidR="00000000" w:rsidRPr="00000000">
              <w:rPr>
                <w:rtl w:val="0"/>
              </w:rPr>
              <w:t xml:space="preserve">Carabanchel,</w:t>
            </w:r>
          </w:p>
          <w:p w:rsidR="00000000" w:rsidDel="00000000" w:rsidP="00000000" w:rsidRDefault="00000000" w:rsidRPr="00000000" w14:paraId="00000057">
            <w:pPr>
              <w:widowControl w:val="0"/>
              <w:jc w:val="center"/>
              <w:rPr/>
            </w:pPr>
            <w:r w:rsidDel="00000000" w:rsidR="00000000" w:rsidRPr="00000000">
              <w:rPr>
                <w:rtl w:val="0"/>
              </w:rPr>
              <w:t xml:space="preserve">Puente Vallecas,</w:t>
            </w:r>
          </w:p>
          <w:p w:rsidR="00000000" w:rsidDel="00000000" w:rsidP="00000000" w:rsidRDefault="00000000" w:rsidRPr="00000000" w14:paraId="00000058">
            <w:pPr>
              <w:widowControl w:val="0"/>
              <w:jc w:val="center"/>
              <w:rPr/>
            </w:pPr>
            <w:r w:rsidDel="00000000" w:rsidR="00000000" w:rsidRPr="00000000">
              <w:rPr>
                <w:rtl w:val="0"/>
              </w:rPr>
              <w:t xml:space="preserve">Usera,</w:t>
            </w:r>
          </w:p>
          <w:p w:rsidR="00000000" w:rsidDel="00000000" w:rsidP="00000000" w:rsidRDefault="00000000" w:rsidRPr="00000000" w14:paraId="00000059">
            <w:pPr>
              <w:widowControl w:val="0"/>
              <w:jc w:val="center"/>
              <w:rPr/>
            </w:pPr>
            <w:r w:rsidDel="00000000" w:rsidR="00000000" w:rsidRPr="00000000">
              <w:rPr>
                <w:rtl w:val="0"/>
              </w:rPr>
              <w:t xml:space="preserve">Villaverde</w:t>
            </w:r>
          </w:p>
        </w:tc>
      </w:tr>
    </w:tbl>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b w:val="1"/>
          <w:rtl w:val="0"/>
        </w:rPr>
        <w:t xml:space="preserve">REPRESENTACIÓN GRÁFICA </w:t>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1014413</wp:posOffset>
            </wp:positionV>
            <wp:extent cx="2886075" cy="27932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86075" cy="2793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976313</wp:posOffset>
            </wp:positionV>
            <wp:extent cx="2962275" cy="2861079"/>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62275" cy="286107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4071938</wp:posOffset>
            </wp:positionV>
            <wp:extent cx="2886075" cy="2808856"/>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86075" cy="280885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238125</wp:posOffset>
            </wp:positionH>
            <wp:positionV relativeFrom="paragraph">
              <wp:posOffset>4081463</wp:posOffset>
            </wp:positionV>
            <wp:extent cx="2881313" cy="279692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81313" cy="2796923"/>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