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r w:rsidRPr="006979E3">
        <w:rPr>
          <w:rFonts w:ascii="Arial" w:hAnsi="Arial" w:cs="Arial"/>
          <w:b/>
        </w:rPr>
        <w:t>font-size: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&lt;audio&gt; e &lt;/audio&gt; utilizar a &lt;source src="" type="audio/"&gt;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F1551B" w:rsidRDefault="00DC0A90" w:rsidP="00DC0A90">
      <w:pPr>
        <w:ind w:hanging="993"/>
        <w:rPr>
          <w:rFonts w:ascii="Arial" w:hAnsi="Arial" w:cs="Arial"/>
          <w:b/>
        </w:rPr>
      </w:pPr>
      <w:r w:rsidRPr="00F1551B">
        <w:rPr>
          <w:rFonts w:ascii="Arial" w:hAnsi="Arial" w:cs="Arial"/>
          <w:b/>
        </w:rPr>
        <w:t>&lt;video src="video.mp4" width="800" poster="" controls autoplay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Ex: &lt;h1 id=”destaque”&gt;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Além do main e footer, embrar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b/>
          <w:sz w:val="24"/>
          <w:szCs w:val="24"/>
        </w:rPr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>Margin: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6153D6" w:rsidRDefault="00957072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957072" w:rsidRPr="006153D6" w:rsidRDefault="00957072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BE0D00" w:rsidRDefault="00957072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957072" w:rsidRPr="00BE0D00" w:rsidRDefault="00957072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Left: 200px; (%, etc)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Background-image: url (../imagens/img02.jpg)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#container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lastRenderedPageBreak/>
        <w:t>Tornando iframes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2) referrerpolicy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957072" w:rsidRPr="00F1551B" w:rsidRDefault="00957072" w:rsidP="00957072">
      <w:pPr>
        <w:ind w:left="-709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bookmarkStart w:id="0" w:name="_GoBack"/>
      <w:r w:rsidRPr="00F1551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Mais dicas para iframes</w:t>
      </w:r>
    </w:p>
    <w:bookmarkEnd w:id="0"/>
    <w:p w:rsidR="00957072" w:rsidRP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sectPr w:rsidR="00957072" w:rsidRPr="00957072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8381D"/>
    <w:rsid w:val="005953AA"/>
    <w:rsid w:val="005969FF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7F4E5D"/>
    <w:rsid w:val="00824BC3"/>
    <w:rsid w:val="0085135C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F12221"/>
    <w:rsid w:val="00F1551B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EA8C-C284-4C60-A39E-E4148964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36833</TotalTime>
  <Pages>15</Pages>
  <Words>2659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34</cp:revision>
  <dcterms:created xsi:type="dcterms:W3CDTF">2022-10-27T13:28:00Z</dcterms:created>
  <dcterms:modified xsi:type="dcterms:W3CDTF">2023-02-08T14:18:00Z</dcterms:modified>
</cp:coreProperties>
</file>