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880"/>
      </w:tblGrid>
      <w:tr>
        <w:tc>
          <w:tcPr>
            <w:tcW w:type="dxa" w:w="5184"/>
            <w:shd w:fill="00237A"/>
            <w:tcMar>
              <w:top w:w="300" w:type="dxa"/>
              <w:start w:w="300" w:type="dxa"/>
              <w:bottom w:w="300" w:type="dxa"/>
              <w:end w:w="300" w:type="dxa"/>
            </w:tcMar>
          </w:tcPr>
          <w:p>
            <w:r>
              <w:rPr>
                <w:rFonts w:ascii="Poppins" w:hAnsi="Poppins"/>
                <w:b/>
                <w:color w:val="0089FF"/>
                <w:sz w:val="28"/>
              </w:rPr>
              <w:t>REGION SOUTH</w:t>
            </w:r>
          </w:p>
          <w:p>
            <w:r>
              <w:rPr>
                <w:rFonts w:ascii="Poppins" w:hAnsi="Poppins"/>
                <w:b/>
                <w:color w:val="FFFFFF"/>
                <w:sz w:val="62"/>
              </w:rPr>
              <w:t>Visual Style Guide</w:t>
            </w:r>
          </w:p>
          <w:p>
            <w:r>
              <w:rPr>
                <w:rFonts w:ascii="Poppins" w:hAnsi="Poppins"/>
                <w:color w:val="D8E8FF"/>
                <w:sz w:val="34"/>
              </w:rPr>
              <w:t>User Edition</w:t>
            </w:r>
          </w:p>
          <w:p>
            <w:r>
              <w:rPr>
                <w:rFonts w:ascii="Poppins" w:hAnsi="Poppins"/>
                <w:color w:val="FFFFFF"/>
                <w:sz w:val="22"/>
              </w:rPr>
              <w:t>A practical guide for consistent Region South presentations, dashboards, data stories, and AI-generated graphics.</w:t>
            </w:r>
          </w:p>
        </w:tc>
        <w:tc>
          <w:tcPr>
            <w:tcW w:type="dxa" w:w="5184"/>
            <w:shd w:fill="00237A"/>
            <w:tcMar>
              <w:top w:w="300" w:type="dxa"/>
              <w:start w:w="200" w:type="dxa"/>
              <w:bottom w:w="300" w:type="dxa"/>
              <w:end w:w="200" w:type="dxa"/>
            </w:tcMar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1990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S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990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USD_se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629400" cy="3731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-dark-m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3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oppins" w:hAnsi="Poppins"/>
          <w:b/>
          <w:color w:val="00237A"/>
        </w:rPr>
        <w:t>Professional  |  Data-driven  |  Student-centered  |  Modern  |  Optimistic  |  Clear</w:t>
      </w:r>
    </w:p>
    <w:p>
      <w:r>
        <w:br w:type="page"/>
      </w:r>
    </w:p>
    <w:p>
      <w:pPr>
        <w:pStyle w:val="Heading1"/>
      </w:pPr>
      <w:r>
        <w:t>Quick Start</w:t>
      </w:r>
    </w:p>
    <w:p>
      <w:r>
        <w:rPr>
          <w:rFonts w:ascii="Poppins" w:hAnsi="Poppins"/>
          <w:color w:val="5E6B7A"/>
          <w:sz w:val="22"/>
        </w:rPr>
        <w:t>The rules most users need before creating a Region South graphic.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0368"/>
            <w:shd w:fill="0089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left w:val="single" w:sz="18" w:color="0089FF"/>
            </w:tcBorders>
          </w:tcPr>
          <w:p>
            <w:pPr>
              <w:pStyle w:val="Callout"/>
            </w:pPr>
            <w:r>
              <w:t>Core priority: Data accuracy &gt; Brand compliance &gt; Readability &gt; Correct subject identity &gt; Student representation &gt; Aesthetic polish.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1. Choose a display mode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Light Mode or Dark Mode must be chosen before final generation. If the user has not specified one, ask.</w:t>
            </w:r>
          </w:p>
        </w:tc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2. Resolve metadata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Ask for Source and download/data-as-of Date when missing. Explicitly allow either to be omitted if not pertinent.</w:t>
            </w:r>
          </w:p>
        </w:tc>
      </w:tr>
      <w:tr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3. Identify the subject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Math = blue. ELA = orange. Science/CAST = green. Subject determines the color family.</w:t>
            </w:r>
          </w:p>
        </w:tc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4. Select a template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RS-01 Hero Data, RS-02 Regional Comparison, or RS-03 Cohort Analysis.</w:t>
            </w:r>
          </w:p>
        </w:tc>
      </w:tr>
      <w:tr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5. Use approved terminology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P+A = Proficient + Advanced; DFP = Distance from Proficiency; SP = Science Points.</w:t>
            </w:r>
          </w:p>
        </w:tc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6. Verify before publishing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Check data values, definitions, authentic logos, contrast, source/date, and embargo restrictions.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E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left w:val="single" w:sz="18" w:color="FF4D00"/>
            </w:tcBorders>
          </w:tcPr>
          <w:p>
            <w:pPr>
              <w:pStyle w:val="Callout"/>
            </w:pPr>
            <w:r>
              <w:t>Do not improvise brand rules when a Region South standard already exists.</w:t>
            </w:r>
          </w:p>
        </w:tc>
      </w:tr>
    </w:tbl>
    <w:p>
      <w:r>
        <w:br w:type="page"/>
      </w:r>
    </w:p>
    <w:p>
      <w:pPr>
        <w:pStyle w:val="Heading1"/>
      </w:pPr>
      <w:r>
        <w:t>1. Brand Foundation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0368"/>
            <w:shd w:fill="0089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r>
        <w:t>The Region South visual system is a presentation and communication framework operating within the LAUSD brand environment. It does not replace the official LAUSD identity.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Professional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Data-driven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Student-centered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Modern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Optimistic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Clear</w:t>
      </w:r>
    </w:p>
    <w:p>
      <w:pPr>
        <w:pStyle w:val="Heading2"/>
      </w:pPr>
      <w:r>
        <w:t>Official brand assets</w:t>
      </w:r>
    </w:p>
    <w:p>
      <w:r>
        <w:t>Use the canonical Region South and LAUSD logo files. Never redraw, recolor, distort, crop, or approximate official logos.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left w:val="single" w:sz="18" w:color="0089FF"/>
            </w:tcBorders>
          </w:tcPr>
          <w:p>
            <w:pPr>
              <w:pStyle w:val="Callout"/>
            </w:pPr>
            <w:r>
              <w:t>If an AI cannot reproduce an authentic logo, reserve clean space and insert the official asset afterward. An authentic missing logo is better than an inaccurate generated logo.</w:t>
            </w:r>
          </w:p>
        </w:tc>
      </w:tr>
    </w:tbl>
    <w:p>
      <w:pPr>
        <w:pStyle w:val="Heading2"/>
      </w:pPr>
      <w:r>
        <w:t>Brand hierarchy</w:t>
      </w:r>
    </w:p>
    <w:p>
      <w:r>
        <w:t>LAUSD -&gt; Region South -&gt; specific program, subject, or data story.</w:t>
      </w:r>
    </w:p>
    <w:p>
      <w:pPr>
        <w:pStyle w:val="Heading1"/>
      </w:pPr>
      <w:r>
        <w:t>2. Approved Display Modes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720840" cy="37824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-dark-m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7824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LIGHT MODE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Best for print, dense analytical charts, regional comparisons, detailed tables, and maximum color contrast.</w:t>
            </w:r>
          </w:p>
        </w:tc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DARK MODE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Best for presentations, executive dashboards, hero graphics, title slides, student photography, and large-screen display.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left w:val="single" w:sz="18" w:color="0089FF"/>
            </w:tcBorders>
          </w:tcPr>
          <w:p>
            <w:pPr>
              <w:pStyle w:val="Callout"/>
            </w:pPr>
            <w:r>
              <w:t>Required interaction: If the user has not specified Light or Dark Mode, ask. If they request a recommendation, recommend one and obtain confirmation before final generation.</w:t>
            </w:r>
          </w:p>
        </w:tc>
      </w:tr>
    </w:tbl>
    <w:p>
      <w:r>
        <w:br w:type="page"/>
      </w:r>
    </w:p>
    <w:p>
      <w:pPr>
        <w:pStyle w:val="Heading1"/>
      </w:pPr>
      <w:r>
        <w:t>3. Color System</w:t>
      </w:r>
    </w:p>
    <w:p>
      <w:r>
        <w:rPr>
          <w:rFonts w:ascii="Poppins" w:hAnsi="Poppins"/>
          <w:color w:val="5E6B7A"/>
          <w:sz w:val="22"/>
        </w:rPr>
        <w:t>Subject determines the color family. Region determines the shade.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0368"/>
            <w:shd w:fill="0089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0237A"/>
          </w:tcPr>
          <w:p>
            <w:r>
              <w:rPr>
                <w:rFonts w:ascii="Poppins" w:hAnsi="Poppins"/>
                <w:b/>
                <w:color w:val="FFFFFF"/>
              </w:rPr>
              <w:t>Color</w:t>
            </w:r>
          </w:p>
        </w:tc>
        <w:tc>
          <w:tcPr>
            <w:tcW w:type="dxa" w:w="3456"/>
            <w:shd w:fill="00237A"/>
          </w:tcPr>
          <w:p>
            <w:r>
              <w:rPr>
                <w:rFonts w:ascii="Poppins" w:hAnsi="Poppins"/>
                <w:b/>
                <w:color w:val="FFFFFF"/>
              </w:rPr>
              <w:t>Hex</w:t>
            </w:r>
          </w:p>
        </w:tc>
        <w:tc>
          <w:tcPr>
            <w:tcW w:type="dxa" w:w="3456"/>
            <w:shd w:fill="00237A"/>
          </w:tcPr>
          <w:p>
            <w:r>
              <w:rPr>
                <w:rFonts w:ascii="Poppins" w:hAnsi="Poppins"/>
                <w:b/>
                <w:color w:val="FFFFFF"/>
              </w:rPr>
              <w:t>Use</w:t>
            </w:r>
          </w:p>
        </w:tc>
      </w:tr>
      <w:tr>
        <w:tc>
          <w:tcPr>
            <w:tcW w:type="dxa" w:w="3456"/>
            <w:shd w:fill="00237A"/>
          </w:tcPr>
          <w:p>
            <w:r>
              <w:rPr>
                <w:rFonts w:ascii="Poppins" w:hAnsi="Poppins"/>
                <w:b/>
                <w:color w:val="FFFFFF"/>
                <w:sz w:val="19"/>
              </w:rPr>
              <w:t>LAUSD Navy</w:t>
            </w:r>
          </w:p>
        </w:tc>
        <w:tc>
          <w:tcPr>
            <w:tcW w:type="dxa" w:w="3456"/>
          </w:tcPr>
          <w:p>
            <w:r>
              <w:rPr>
                <w:rFonts w:ascii="Poppins" w:hAnsi="Poppins"/>
                <w:sz w:val="19"/>
              </w:rPr>
              <w:t>#00237A</w:t>
            </w:r>
          </w:p>
        </w:tc>
        <w:tc>
          <w:tcPr>
            <w:tcW w:type="dxa" w:w="3456"/>
          </w:tcPr>
          <w:p>
            <w:r>
              <w:rPr>
                <w:rFonts w:ascii="Poppins" w:hAnsi="Poppins"/>
                <w:sz w:val="19"/>
              </w:rPr>
              <w:t>Math anchor / institutional blue</w:t>
            </w:r>
          </w:p>
        </w:tc>
      </w:tr>
      <w:tr>
        <w:tc>
          <w:tcPr>
            <w:tcW w:type="dxa" w:w="3456"/>
            <w:shd w:fill="0089FF"/>
          </w:tcPr>
          <w:p>
            <w:r>
              <w:rPr>
                <w:rFonts w:ascii="Poppins" w:hAnsi="Poppins"/>
                <w:b/>
                <w:color w:val="FFFFFF"/>
                <w:sz w:val="19"/>
              </w:rPr>
              <w:t>Bright Blue</w:t>
            </w:r>
          </w:p>
        </w:tc>
        <w:tc>
          <w:tcPr>
            <w:tcW w:type="dxa" w:w="3456"/>
          </w:tcPr>
          <w:p>
            <w:r>
              <w:rPr>
                <w:rFonts w:ascii="Poppins" w:hAnsi="Poppins"/>
                <w:sz w:val="19"/>
              </w:rPr>
              <w:t>#0089FF</w:t>
            </w:r>
          </w:p>
        </w:tc>
        <w:tc>
          <w:tcPr>
            <w:tcW w:type="dxa" w:w="3456"/>
          </w:tcPr>
          <w:p>
            <w:r>
              <w:rPr>
                <w:rFonts w:ascii="Poppins" w:hAnsi="Poppins"/>
                <w:sz w:val="19"/>
              </w:rPr>
              <w:t>Math secondary / digital accent</w:t>
            </w:r>
          </w:p>
        </w:tc>
      </w:tr>
      <w:tr>
        <w:tc>
          <w:tcPr>
            <w:tcW w:type="dxa" w:w="3456"/>
            <w:shd w:fill="00602D"/>
          </w:tcPr>
          <w:p>
            <w:r>
              <w:rPr>
                <w:rFonts w:ascii="Poppins" w:hAnsi="Poppins"/>
                <w:b/>
                <w:color w:val="FFFFFF"/>
                <w:sz w:val="19"/>
              </w:rPr>
              <w:t>LAUSD Green</w:t>
            </w:r>
          </w:p>
        </w:tc>
        <w:tc>
          <w:tcPr>
            <w:tcW w:type="dxa" w:w="3456"/>
          </w:tcPr>
          <w:p>
            <w:r>
              <w:rPr>
                <w:rFonts w:ascii="Poppins" w:hAnsi="Poppins"/>
                <w:sz w:val="19"/>
              </w:rPr>
              <w:t>#00602D</w:t>
            </w:r>
          </w:p>
        </w:tc>
        <w:tc>
          <w:tcPr>
            <w:tcW w:type="dxa" w:w="3456"/>
          </w:tcPr>
          <w:p>
            <w:r>
              <w:rPr>
                <w:rFonts w:ascii="Poppins" w:hAnsi="Poppins"/>
                <w:sz w:val="19"/>
              </w:rPr>
              <w:t>Science / CAST anchor</w:t>
            </w:r>
          </w:p>
        </w:tc>
      </w:tr>
      <w:tr>
        <w:tc>
          <w:tcPr>
            <w:tcW w:type="dxa" w:w="3456"/>
            <w:shd w:fill="FF4D00"/>
          </w:tcPr>
          <w:p>
            <w:r>
              <w:rPr>
                <w:rFonts w:ascii="Poppins" w:hAnsi="Poppins"/>
                <w:b/>
                <w:color w:val="FFFFFF"/>
                <w:sz w:val="19"/>
              </w:rPr>
              <w:t>LAUSD Orange</w:t>
            </w:r>
          </w:p>
        </w:tc>
        <w:tc>
          <w:tcPr>
            <w:tcW w:type="dxa" w:w="3456"/>
          </w:tcPr>
          <w:p>
            <w:r>
              <w:rPr>
                <w:rFonts w:ascii="Poppins" w:hAnsi="Poppins"/>
                <w:sz w:val="19"/>
              </w:rPr>
              <w:t>#FF4D00</w:t>
            </w:r>
          </w:p>
        </w:tc>
        <w:tc>
          <w:tcPr>
            <w:tcW w:type="dxa" w:w="3456"/>
          </w:tcPr>
          <w:p>
            <w:r>
              <w:rPr>
                <w:rFonts w:ascii="Poppins" w:hAnsi="Poppins"/>
                <w:sz w:val="19"/>
              </w:rPr>
              <w:t>ELA anchor</w:t>
            </w:r>
          </w:p>
        </w:tc>
      </w:tr>
      <w:tr>
        <w:tc>
          <w:tcPr>
            <w:tcW w:type="dxa" w:w="3456"/>
            <w:shd w:fill="FF9C00"/>
          </w:tcPr>
          <w:p>
            <w:r>
              <w:rPr>
                <w:rFonts w:ascii="Poppins" w:hAnsi="Poppins"/>
                <w:b/>
                <w:color w:val="14213D"/>
                <w:sz w:val="19"/>
              </w:rPr>
              <w:t>LAUSD Gold</w:t>
            </w:r>
          </w:p>
        </w:tc>
        <w:tc>
          <w:tcPr>
            <w:tcW w:type="dxa" w:w="3456"/>
          </w:tcPr>
          <w:p>
            <w:r>
              <w:rPr>
                <w:rFonts w:ascii="Poppins" w:hAnsi="Poppins"/>
                <w:sz w:val="19"/>
              </w:rPr>
              <w:t>#FF9C00</w:t>
            </w:r>
          </w:p>
        </w:tc>
        <w:tc>
          <w:tcPr>
            <w:tcW w:type="dxa" w:w="3456"/>
          </w:tcPr>
          <w:p>
            <w:r>
              <w:rPr>
                <w:rFonts w:ascii="Poppins" w:hAnsi="Poppins"/>
                <w:sz w:val="19"/>
              </w:rPr>
              <w:t>Highlight</w:t>
            </w:r>
          </w:p>
        </w:tc>
      </w:tr>
      <w:tr>
        <w:tc>
          <w:tcPr>
            <w:tcW w:type="dxa" w:w="3456"/>
            <w:shd w:fill="FF0000"/>
          </w:tcPr>
          <w:p>
            <w:r>
              <w:rPr>
                <w:rFonts w:ascii="Poppins" w:hAnsi="Poppins"/>
                <w:b/>
                <w:color w:val="FFFFFF"/>
                <w:sz w:val="19"/>
              </w:rPr>
              <w:t>LAUSD Red</w:t>
            </w:r>
          </w:p>
        </w:tc>
        <w:tc>
          <w:tcPr>
            <w:tcW w:type="dxa" w:w="3456"/>
          </w:tcPr>
          <w:p>
            <w:r>
              <w:rPr>
                <w:rFonts w:ascii="Poppins" w:hAnsi="Poppins"/>
                <w:sz w:val="19"/>
              </w:rPr>
              <w:t>#FF0000</w:t>
            </w:r>
          </w:p>
        </w:tc>
        <w:tc>
          <w:tcPr>
            <w:tcW w:type="dxa" w:w="3456"/>
          </w:tcPr>
          <w:p>
            <w:r>
              <w:rPr>
                <w:rFonts w:ascii="Poppins" w:hAnsi="Poppins"/>
                <w:sz w:val="19"/>
              </w:rPr>
              <w:t>Warning / decline</w:t>
            </w:r>
          </w:p>
        </w:tc>
      </w:tr>
    </w:tbl>
    <w:p/>
    <w:p>
      <w:pPr>
        <w:pStyle w:val="Heading2"/>
      </w:pPr>
      <w:r>
        <w:t>Locked regional comparison palette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629400" cy="3729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al-palet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left w:val="single" w:sz="18" w:color="0089FF"/>
            </w:tcBorders>
          </w:tcPr>
          <w:p>
            <w:pPr>
              <w:pStyle w:val="Callout"/>
            </w:pPr>
            <w:r>
              <w:t>Exact regional colors should not drift once adopted. The same region color must be used consistently across all charts in the same visual.</w:t>
            </w:r>
          </w:p>
        </w:tc>
      </w:tr>
    </w:tbl>
    <w:p>
      <w:r>
        <w:br w:type="page"/>
      </w:r>
    </w:p>
    <w:p>
      <w:pPr>
        <w:pStyle w:val="Heading1"/>
      </w:pPr>
      <w:r>
        <w:t>4. Typography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0368"/>
            <w:shd w:fill="0089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r>
        <w:t>Primary presentation/data typeface: Poppins. Open Sans may be used for digital body text; Arial is the fallback.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237A"/>
          </w:tcPr>
          <w:p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5184"/>
            <w:shd w:fill="00237A"/>
          </w:tcPr>
          <w:p>
            <w:r>
              <w:rPr>
                <w:b/>
                <w:color w:val="FFFFFF"/>
              </w:rPr>
              <w:t>Recommended weight</w:t>
            </w:r>
          </w:p>
        </w:tc>
      </w:tr>
      <w:tr>
        <w:tc>
          <w:tcPr>
            <w:tcW w:type="dxa" w:w="5184"/>
          </w:tcPr>
          <w:p>
            <w:r>
              <w:t>Major title</w:t>
            </w:r>
          </w:p>
        </w:tc>
        <w:tc>
          <w:tcPr>
            <w:tcW w:type="dxa" w:w="5184"/>
          </w:tcPr>
          <w:p>
            <w:r>
              <w:t>Bold / ExtraBold</w:t>
            </w:r>
          </w:p>
        </w:tc>
      </w:tr>
      <w:tr>
        <w:tc>
          <w:tcPr>
            <w:tcW w:type="dxa" w:w="5184"/>
          </w:tcPr>
          <w:p>
            <w:r>
              <w:t>Section heading</w:t>
            </w:r>
          </w:p>
        </w:tc>
        <w:tc>
          <w:tcPr>
            <w:tcW w:type="dxa" w:w="5184"/>
          </w:tcPr>
          <w:p>
            <w:r>
              <w:t>Bold</w:t>
            </w:r>
          </w:p>
        </w:tc>
      </w:tr>
      <w:tr>
        <w:tc>
          <w:tcPr>
            <w:tcW w:type="dxa" w:w="5184"/>
          </w:tcPr>
          <w:p>
            <w:r>
              <w:t>Subtitle</w:t>
            </w:r>
          </w:p>
        </w:tc>
        <w:tc>
          <w:tcPr>
            <w:tcW w:type="dxa" w:w="5184"/>
          </w:tcPr>
          <w:p>
            <w:r>
              <w:t>Medium</w:t>
            </w:r>
          </w:p>
        </w:tc>
      </w:tr>
      <w:tr>
        <w:tc>
          <w:tcPr>
            <w:tcW w:type="dxa" w:w="5184"/>
          </w:tcPr>
          <w:p>
            <w:r>
              <w:t>Chart title</w:t>
            </w:r>
          </w:p>
        </w:tc>
        <w:tc>
          <w:tcPr>
            <w:tcW w:type="dxa" w:w="5184"/>
          </w:tcPr>
          <w:p>
            <w:r>
              <w:t>SemiBold</w:t>
            </w:r>
          </w:p>
        </w:tc>
      </w:tr>
      <w:tr>
        <w:tc>
          <w:tcPr>
            <w:tcW w:type="dxa" w:w="5184"/>
          </w:tcPr>
          <w:p>
            <w:r>
              <w:t>Large metric</w:t>
            </w:r>
          </w:p>
        </w:tc>
        <w:tc>
          <w:tcPr>
            <w:tcW w:type="dxa" w:w="5184"/>
          </w:tcPr>
          <w:p>
            <w:r>
              <w:t>Bold / ExtraBold</w:t>
            </w:r>
          </w:p>
        </w:tc>
      </w:tr>
      <w:tr>
        <w:tc>
          <w:tcPr>
            <w:tcW w:type="dxa" w:w="5184"/>
          </w:tcPr>
          <w:p>
            <w:r>
              <w:t>Body</w:t>
            </w:r>
          </w:p>
        </w:tc>
        <w:tc>
          <w:tcPr>
            <w:tcW w:type="dxa" w:w="5184"/>
          </w:tcPr>
          <w:p>
            <w:r>
              <w:t>Regular</w:t>
            </w:r>
          </w:p>
        </w:tc>
      </w:tr>
      <w:tr>
        <w:tc>
          <w:tcPr>
            <w:tcW w:type="dxa" w:w="5184"/>
          </w:tcPr>
          <w:p>
            <w:r>
              <w:t>Chart labels</w:t>
            </w:r>
          </w:p>
        </w:tc>
        <w:tc>
          <w:tcPr>
            <w:tcW w:type="dxa" w:w="5184"/>
          </w:tcPr>
          <w:p>
            <w:r>
              <w:t>Medium</w:t>
            </w:r>
          </w:p>
        </w:tc>
      </w:tr>
      <w:tr>
        <w:tc>
          <w:tcPr>
            <w:tcW w:type="dxa" w:w="5184"/>
          </w:tcPr>
          <w:p>
            <w:r>
              <w:t>Footer / source</w:t>
            </w:r>
          </w:p>
        </w:tc>
        <w:tc>
          <w:tcPr>
            <w:tcW w:type="dxa" w:w="5184"/>
          </w:tcPr>
          <w:p>
            <w:r>
              <w:t>Regular</w:t>
            </w:r>
          </w:p>
        </w:tc>
      </w:tr>
    </w:tbl>
    <w:p>
      <w:pPr>
        <w:pStyle w:val="Heading1"/>
      </w:pPr>
      <w:r>
        <w:t>5. Photography and Student Representation</w:t>
      </w:r>
    </w:p>
    <w:p>
      <w:r>
        <w:t>Student imagery should be photorealistic, age-appropriate, diverse, academically engaged, and natural rather than posed. Students should support the instructional context or data story rather than function as decoration.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FF4D00"/>
                <w:sz w:val="24"/>
              </w:rPr>
              <w:t>ELA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Reading, annotating, discussing text, or writing in response. Icon: open book in LAUSD Orange.</w:t>
            </w:r>
          </w:p>
        </w:tc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Math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Solving equations, calculator use, graphing, collaborative problem-solving. Icon: calculator in LAUSD Navy.</w:t>
            </w:r>
          </w:p>
        </w:tc>
      </w:tr>
      <w:tr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602D"/>
                <w:sz w:val="24"/>
              </w:rPr>
              <w:t>Science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Experiments, measuring liquids, recording observations, discussing results. Icon: beaker, flask, or microscope in LAUSD Green.</w:t>
            </w:r>
          </w:p>
        </w:tc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Placement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Prefer left, lower-left, or lower-third. Blend photography into the composition; data readability always takes precedence.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left w:val="single" w:sz="18" w:color="0089FF"/>
            </w:tcBorders>
          </w:tcPr>
          <w:p>
            <w:pPr>
              <w:pStyle w:val="Callout"/>
            </w:pPr>
            <w:r>
              <w:t>Science green #00602D should not sit directly on navy. Put a green Science icon inside a white or light container when the overall slide is dark.</w:t>
            </w:r>
          </w:p>
        </w:tc>
      </w:tr>
    </w:tbl>
    <w:p>
      <w:r>
        <w:br w:type="page"/>
      </w:r>
    </w:p>
    <w:p>
      <w:pPr>
        <w:pStyle w:val="Heading1"/>
      </w:pPr>
      <w:r>
        <w:t>6. Core Layout Templates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0368"/>
            <w:shd w:fill="0089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RS-01 — Hero Data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PHOTO | PRIMARY DATA | KEY TAKEAWAY</w:t>
              <w:br/>
              <w:t>Use for SBA trends, CAST, attendance, and single-subject dashboards.</w:t>
            </w:r>
          </w:p>
        </w:tc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FF4D00"/>
                <w:sz w:val="24"/>
              </w:rPr>
              <w:t>RS-02 — Regional Comparison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P+A | DFP or SP | REGION SOUTH STORY</w:t>
              <w:br/>
              <w:t>Use for East/North/South/West comparisons. Light plotting areas are preferred.</w:t>
            </w:r>
          </w:p>
        </w:tc>
      </w:tr>
      <w:tr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FF4D00"/>
                <w:sz w:val="24"/>
              </w:rPr>
              <w:t>RS-03 — Cohort Analysis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MULTIPLE GRADE PANELS + STUDENT IMAGE | KEY TAKEAWAY</w:t>
              <w:br/>
              <w:t>Use common axes when cross-panel comparison is intended.</w:t>
            </w:r>
          </w:p>
        </w:tc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Dashboard proportion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Top 15–18% title/subtitle; middle 60–68% visualization/photo; bottom 12–18% takeaway/logo/source/notes.</w:t>
            </w:r>
          </w:p>
        </w:tc>
      </w:tr>
    </w:tbl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-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Terminology and Measures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0368"/>
            <w:shd w:fill="0089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0237A"/>
          </w:tcPr>
          <w:p>
            <w:r>
              <w:rPr>
                <w:b/>
                <w:color w:val="FFFFFF"/>
              </w:rPr>
              <w:t>Full term</w:t>
            </w:r>
          </w:p>
        </w:tc>
        <w:tc>
          <w:tcPr>
            <w:tcW w:type="dxa" w:w="3456"/>
            <w:shd w:fill="00237A"/>
          </w:tcPr>
          <w:p>
            <w:r>
              <w:rPr>
                <w:b/>
                <w:color w:val="FFFFFF"/>
              </w:rPr>
              <w:t>Short form</w:t>
            </w:r>
          </w:p>
        </w:tc>
        <w:tc>
          <w:tcPr>
            <w:tcW w:type="dxa" w:w="3456"/>
            <w:shd w:fill="00237A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3456"/>
          </w:tcPr>
          <w:p>
            <w:r>
              <w:t>Proficient + Advanced</w:t>
            </w:r>
          </w:p>
        </w:tc>
        <w:tc>
          <w:tcPr>
            <w:tcW w:type="dxa" w:w="3456"/>
          </w:tcPr>
          <w:p>
            <w:r>
              <w:t>P+A</w:t>
            </w:r>
          </w:p>
        </w:tc>
        <w:tc>
          <w:tcPr>
            <w:tcW w:type="dxa" w:w="3456"/>
          </w:tcPr>
          <w:p>
            <w:r>
              <w:t>Higher is better. Use percentage points for differences between rates.</w:t>
            </w:r>
          </w:p>
        </w:tc>
      </w:tr>
      <w:tr>
        <w:tc>
          <w:tcPr>
            <w:tcW w:type="dxa" w:w="3456"/>
          </w:tcPr>
          <w:p>
            <w:r>
              <w:t>Distance from Proficiency</w:t>
            </w:r>
          </w:p>
        </w:tc>
        <w:tc>
          <w:tcPr>
            <w:tcW w:type="dxa" w:w="3456"/>
          </w:tcPr>
          <w:p>
            <w:r>
              <w:t>DFP</w:t>
            </w:r>
          </w:p>
        </w:tc>
        <w:tc>
          <w:tcPr>
            <w:tcW w:type="dxa" w:w="3456"/>
          </w:tcPr>
          <w:p>
            <w:r>
              <w:t>Higher is better. Values closer to 0 are closer to proficiency; positive values are above proficiency.</w:t>
            </w:r>
          </w:p>
        </w:tc>
      </w:tr>
      <w:tr>
        <w:tc>
          <w:tcPr>
            <w:tcW w:type="dxa" w:w="3456"/>
          </w:tcPr>
          <w:p>
            <w:r>
              <w:t>Science Points</w:t>
            </w:r>
          </w:p>
        </w:tc>
        <w:tc>
          <w:tcPr>
            <w:tcW w:type="dxa" w:w="3456"/>
          </w:tcPr>
          <w:p>
            <w:r>
              <w:t>SP</w:t>
            </w:r>
          </w:p>
        </w:tc>
        <w:tc>
          <w:tcPr>
            <w:tcW w:type="dxa" w:w="3456"/>
          </w:tcPr>
          <w:p>
            <w:r>
              <w:t>Higher is better. Scale is 0–100; 65 = Proficiency.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left w:val="single" w:sz="18" w:color="0089FF"/>
            </w:tcBorders>
          </w:tcPr>
          <w:p>
            <w:pPr>
              <w:pStyle w:val="Callout"/>
            </w:pPr>
            <w:r>
              <w:t>Whenever P+A, DFP, or SP appears anywhere in a visual, the full definition must also appear somewhere in that same visual.</w:t>
            </w:r>
          </w:p>
        </w:tc>
      </w:tr>
    </w:tbl>
    <w:p>
      <w:r>
        <w:t>Do not display PoA in Region South-facing visuals unless reproducing a source verbatim. Use Proficient + Advanced or P+A instead.</w:t>
      </w:r>
    </w:p>
    <w:p>
      <w:r>
        <w:t>Use Distance from Proficiency, not Distance from Standard.</w:t>
      </w:r>
    </w:p>
    <w:p>
      <w:r>
        <w:br w:type="page"/>
      </w:r>
    </w:p>
    <w:p>
      <w:pPr>
        <w:pStyle w:val="Heading1"/>
      </w:pPr>
      <w:r>
        <w:t>8. Data Visualization Standards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0368"/>
            <w:shd w:fill="0089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pStyle w:val="ListBullet"/>
        <w:spacing w:after="60"/>
      </w:pPr>
      <w:r>
        <w:rPr>
          <w:rFonts w:ascii="Poppins" w:hAnsi="Poppins"/>
          <w:sz w:val="21"/>
        </w:rPr>
        <w:t>Use accurate scales, minimal clutter, selective direct labeling, and fair comparison.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P+A: higher is better. Describe differences between percentages as percentage points.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DFP: higher is better. Keep negative signs. Use 0 = Proficiency when relevant. Do not reverse the axis.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SP: scale 0–100. Use a benchmark at 65 labeled Proficiency. Never label it Proficiency Floor.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Regional comparison: South receives the strongest emphasis without suppressing other regions.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Cohort-change bars: preserve the subject color family as the primary encoding; bar direction communicates sign.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Benchmarks should be subordinate to data: thin, dashed, and directly labeled.</w:t>
      </w:r>
    </w:p>
    <w:p>
      <w:pPr>
        <w:pStyle w:val="Heading2"/>
      </w:pPr>
      <w:r>
        <w:t>Trend language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237A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shd w:fill="00237A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</w:tcPr>
          <w:p>
            <w:r>
              <w:t>Improvement</w:t>
            </w:r>
          </w:p>
        </w:tc>
        <w:tc>
          <w:tcPr>
            <w:tcW w:type="dxa" w:w="5184"/>
          </w:tcPr>
          <w:p>
            <w:r>
              <w:t>Favorable directional movement.</w:t>
            </w:r>
          </w:p>
        </w:tc>
      </w:tr>
      <w:tr>
        <w:tc>
          <w:tcPr>
            <w:tcW w:type="dxa" w:w="5184"/>
          </w:tcPr>
          <w:p>
            <w:r>
              <w:t>Growth</w:t>
            </w:r>
          </w:p>
        </w:tc>
        <w:tc>
          <w:tcPr>
            <w:tcW w:type="dxa" w:w="5184"/>
          </w:tcPr>
          <w:p>
            <w:r>
              <w:t>Improvement across multiple periods.</w:t>
            </w:r>
          </w:p>
        </w:tc>
      </w:tr>
      <w:tr>
        <w:tc>
          <w:tcPr>
            <w:tcW w:type="dxa" w:w="5184"/>
          </w:tcPr>
          <w:p>
            <w:r>
              <w:t>Average annual change</w:t>
            </w:r>
          </w:p>
        </w:tc>
        <w:tc>
          <w:tcPr>
            <w:tcW w:type="dxa" w:w="5184"/>
          </w:tcPr>
          <w:p>
            <w:r>
              <w:t>Endpoint-based annual rate: (final - start) / elapsed years.</w:t>
            </w:r>
          </w:p>
        </w:tc>
      </w:tr>
      <w:tr>
        <w:tc>
          <w:tcPr>
            <w:tcW w:type="dxa" w:w="5184"/>
          </w:tcPr>
          <w:p>
            <w:r>
              <w:t>Linear trend slope</w:t>
            </w:r>
          </w:p>
        </w:tc>
        <w:tc>
          <w:tcPr>
            <w:tcW w:type="dxa" w:w="5184"/>
          </w:tcPr>
          <w:p>
            <w:r>
              <w:t>Regression-based rate using all observations.</w:t>
            </w:r>
          </w:p>
        </w:tc>
      </w:tr>
      <w:tr>
        <w:tc>
          <w:tcPr>
            <w:tcW w:type="dxa" w:w="5184"/>
          </w:tcPr>
          <w:p>
            <w:r>
              <w:t>Acceleration</w:t>
            </w:r>
          </w:p>
        </w:tc>
        <w:tc>
          <w:tcPr>
            <w:tcW w:type="dxa" w:w="5184"/>
          </w:tcPr>
          <w:p>
            <w:r>
              <w:t>The rate of improvement itself is increasing; not a synonym for ordinary growth.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left w:val="single" w:sz="18" w:color="0089FF"/>
            </w:tcBorders>
          </w:tcPr>
          <w:p>
            <w:pPr>
              <w:pStyle w:val="Callout"/>
            </w:pPr>
            <w:r>
              <w:t>Claims such as largest, highest, lowest, fastest, strongest, or most improved must state the comparison period.</w:t>
            </w:r>
          </w:p>
        </w:tc>
      </w:tr>
    </w:tbl>
    <w:p>
      <w:r>
        <w:br w:type="page"/>
      </w:r>
    </w:p>
    <w:p>
      <w:pPr>
        <w:pStyle w:val="Heading1"/>
      </w:pPr>
      <w:r>
        <w:t>9. Preliminary, Embargoed, and Internal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0368"/>
            <w:shd w:fill="0089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r>
        <w:t>When an actual value is restricted, the visual must not reveal the value directly or indirectly.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Do not print the restricted value.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Do not terminate a trend arrow at a meaningful y-axis coordinate.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Do not align the arrow with a gridline from which the value can be estimated.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Prefer a direction-only arrow in a separate Preliminary Trend zone or use generalized text such as improving trend.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E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left w:val="single" w:sz="18" w:color="FF4D00"/>
            </w:tcBorders>
          </w:tcPr>
          <w:p>
            <w:pPr>
              <w:pStyle w:val="Callout"/>
            </w:pPr>
            <w:r>
              <w:t>Preferred wording: Preliminary results remain embargoed and are shown only as a generalized trend.</w:t>
            </w:r>
          </w:p>
        </w:tc>
      </w:tr>
    </w:tbl>
    <w:p>
      <w:r>
        <w:t>For stronger internal notices, use: PRELIMINARY — INTERNAL USE ONLY.</w:t>
      </w:r>
    </w:p>
    <w:p>
      <w:pPr>
        <w:pStyle w:val="Heading1"/>
      </w:pPr>
      <w:r>
        <w:t>10. Footer and Metadata</w:t>
      </w:r>
    </w:p>
    <w:p>
      <w:r>
        <w:t>Preferred footer architecture: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Left: brand identity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Center: definitions, methodology, confidentiality/embargo note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Right: source and 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left w:val="single" w:sz="18" w:color="0089FF"/>
            </w:tcBorders>
          </w:tcPr>
          <w:p>
            <w:pPr>
              <w:pStyle w:val="Callout"/>
            </w:pPr>
            <w:r>
              <w:t>If Source and/or Date are not provided, prompt the user before finalizing. Explicitly offer the option to omit either item if it is not pertinent. Never invent a source or date.</w:t>
            </w:r>
          </w:p>
        </w:tc>
      </w:tr>
    </w:tbl>
    <w:p>
      <w:r>
        <w:t>Approved date labels include Data as of [date], Downloaded [date], and Results through [date]. Use the label that accurately describes the date.</w:t>
      </w:r>
    </w:p>
    <w:p>
      <w:r>
        <w:br w:type="page"/>
      </w:r>
    </w:p>
    <w:p>
      <w:pPr>
        <w:pStyle w:val="Heading1"/>
      </w:pPr>
      <w:r>
        <w:t>11. Using the Guide with AI</w:t>
      </w:r>
    </w:p>
    <w:p>
      <w:r>
        <w:rPr>
          <w:rFonts w:ascii="Poppins" w:hAnsi="Poppins"/>
          <w:color w:val="5E6B7A"/>
          <w:sz w:val="22"/>
        </w:rPr>
        <w:t>For ChatGPT, Claude, Gemini, or another image/design assistant.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0368"/>
            <w:shd w:fill="0089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r>
        <w:t>A Region South AI workflow should resolve the following before generating a final data graphic: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Display Mode: Light or Dark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Source: provide or omit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Date: provide or omit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Preliminary/embargo status, when relevant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Subject and required measures</w:t>
      </w:r>
    </w:p>
    <w:p>
      <w:pPr>
        <w:pStyle w:val="Heading2"/>
      </w:pPr>
      <w:r>
        <w:t>Required AI behavior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Ask the user to choose Light or Dark Mode if missing.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Ask for Source/Date if missing and allow omission.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Apply the locked subject and regional colors.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Use Poppins as the preferred presentation font.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Define P+A, DFP, and SP in the same visual whenever abbreviated.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Use authentic logos only; reserve space if authentic insertion is not possible.</w:t>
      </w:r>
    </w:p>
    <w:p>
      <w:pPr>
        <w:pStyle w:val="ListBullet"/>
        <w:spacing w:after="60"/>
      </w:pPr>
      <w:r>
        <w:rPr>
          <w:rFonts w:ascii="Poppins" w:hAnsi="Poppins"/>
          <w:sz w:val="21"/>
        </w:rPr>
        <w:t>Verify every value, label, benchmark, takeaway, and superlative.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left w:val="single" w:sz="18" w:color="0089FF"/>
            </w:tcBorders>
          </w:tcPr>
          <w:p>
            <w:pPr>
              <w:pStyle w:val="Callout"/>
            </w:pPr>
            <w:r>
              <w:t>AI priority order: Data accuracy &gt; Brand compliance &gt; Readability &gt; Correct subject identity &gt; Student representation &gt; Aesthetic polish.</w:t>
            </w:r>
          </w:p>
        </w:tc>
      </w:tr>
    </w:tbl>
    <w:p>
      <w:r>
        <w:br w:type="page"/>
      </w:r>
    </w:p>
    <w:p>
      <w:pPr>
        <w:pStyle w:val="Heading1"/>
      </w:pPr>
      <w:r>
        <w:t>12. Approved Example Workflow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0368"/>
            <w:shd w:fill="0089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r>
        <w:t>A generated composition is a draft until it passes post-production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Brand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Authentic logos; correct display mode; locked subject and regional colors.</w:t>
            </w:r>
          </w:p>
        </w:tc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Typography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Poppins hierarchy; readable labels; compliant small-text colors.</w:t>
            </w:r>
          </w:p>
        </w:tc>
      </w:tr>
      <w:tr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Data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Values verified; fair axes; correct benchmarks; claims supported.</w:t>
            </w:r>
          </w:p>
        </w:tc>
        <w:tc>
          <w:tcPr>
            <w:tcW w:type="dxa" w:w="5184"/>
            <w:shd w:fill="FAFB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Poppins" w:hAnsi="Poppins"/>
                <w:b/>
                <w:color w:val="00237A"/>
                <w:sz w:val="24"/>
              </w:rPr>
              <w:t>Metadata</w:t>
            </w:r>
          </w:p>
          <w:p>
            <w:pPr>
              <w:spacing w:after="0"/>
            </w:pPr>
            <w:r>
              <w:rPr>
                <w:rFonts w:ascii="Poppins" w:hAnsi="Poppins"/>
                <w:sz w:val="19"/>
              </w:rPr>
              <w:t>Source/date resolved; definitions present; embargo rules followed.</w:t>
            </w:r>
          </w:p>
        </w:tc>
      </w:tr>
    </w:tbl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-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left w:val="single" w:sz="18" w:color="0089FF"/>
            </w:tcBorders>
          </w:tcPr>
          <w:p>
            <w:pPr>
              <w:pStyle w:val="Callout"/>
            </w:pPr>
            <w:r>
              <w:t>Only visuals that pass all current checks should be placed in the Approved Examples gallery.</w:t>
            </w:r>
          </w:p>
        </w:tc>
      </w:tr>
    </w:tbl>
    <w:p>
      <w:r>
        <w:br w:type="page"/>
      </w:r>
    </w:p>
    <w:p>
      <w:pPr>
        <w:pStyle w:val="Heading1"/>
      </w:pPr>
      <w:r>
        <w:t>13. Reference Checklist</w:t>
      </w:r>
    </w:p>
    <w:p>
      <w:r>
        <w:rPr>
          <w:rFonts w:ascii="Poppins" w:hAnsi="Poppins"/>
          <w:color w:val="5E6B7A"/>
          <w:sz w:val="22"/>
        </w:rPr>
        <w:t>Use this before sharing or publishing any Region South visual.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0368"/>
            <w:shd w:fill="0089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pStyle w:val="ListBullet"/>
      </w:pPr>
      <w:r>
        <w:t>□ Light or Dark Mode was selected by the user.</w:t>
      </w:r>
    </w:p>
    <w:p>
      <w:pPr>
        <w:pStyle w:val="ListBullet"/>
      </w:pPr>
      <w:r>
        <w:t>□ Subject color family is correct.</w:t>
      </w:r>
    </w:p>
    <w:p>
      <w:pPr>
        <w:pStyle w:val="ListBullet"/>
      </w:pPr>
      <w:r>
        <w:t>□ Regional colors match the locked palette when regions are compared.</w:t>
      </w:r>
    </w:p>
    <w:p>
      <w:pPr>
        <w:pStyle w:val="ListBullet"/>
      </w:pPr>
      <w:r>
        <w:t>□ Subject icon is correct.</w:t>
      </w:r>
    </w:p>
    <w:p>
      <w:pPr>
        <w:pStyle w:val="ListBullet"/>
      </w:pPr>
      <w:r>
        <w:t>□ Poppins hierarchy is applied or an approved fallback is used.</w:t>
      </w:r>
    </w:p>
    <w:p>
      <w:pPr>
        <w:pStyle w:val="ListBullet"/>
      </w:pPr>
      <w:r>
        <w:t>□ P+A / DFP / SP are defined if abbreviated.</w:t>
      </w:r>
    </w:p>
    <w:p>
      <w:pPr>
        <w:pStyle w:val="ListBullet"/>
      </w:pPr>
      <w:r>
        <w:t>□ Numbers, signs, axes, benchmarks, and takeaways were verified.</w:t>
      </w:r>
    </w:p>
    <w:p>
      <w:pPr>
        <w:pStyle w:val="ListBullet"/>
      </w:pPr>
      <w:r>
        <w:t>□ Source is supplied or intentionally omitted.</w:t>
      </w:r>
    </w:p>
    <w:p>
      <w:pPr>
        <w:pStyle w:val="ListBullet"/>
      </w:pPr>
      <w:r>
        <w:t>□ Date is supplied or intentionally omitted.</w:t>
      </w:r>
    </w:p>
    <w:p>
      <w:pPr>
        <w:pStyle w:val="ListBullet"/>
      </w:pPr>
      <w:r>
        <w:t>□ Embargo/preliminary restrictions are followed.</w:t>
      </w:r>
    </w:p>
    <w:p>
      <w:pPr>
        <w:pStyle w:val="ListBullet"/>
      </w:pPr>
      <w:r>
        <w:t>□ Authentic Region South / LAUSD logos are used, or clean space is reserved for them.</w:t>
      </w:r>
    </w:p>
    <w:p>
      <w:pPr>
        <w:pStyle w:val="ListBullet"/>
      </w:pPr>
      <w:r>
        <w:t>□ Student imagery is age-appropriate, academically engaged, and diverse.</w:t>
      </w:r>
    </w:p>
    <w:p>
      <w:pPr>
        <w:pStyle w:val="ListBullet"/>
      </w:pPr>
      <w:r>
        <w:t>□ Every visual element supports instructional context, the data story, or Region South identity.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left w:val="single" w:sz="18" w:color="0089FF"/>
            </w:tcBorders>
          </w:tcPr>
          <w:p>
            <w:pPr>
              <w:pStyle w:val="Callout"/>
            </w:pPr>
            <w:r>
              <w:t>Every visual element should support either instructional context, the data story, or Region South identity. If it does none of those three things, remove it.</w:t>
            </w:r>
          </w:p>
        </w:tc>
      </w:tr>
    </w:tbl>
    <w:p>
      <w:pPr>
        <w:jc w:val="center"/>
      </w:pPr>
      <w:r>
        <w:rPr>
          <w:color w:val="5E6B7A"/>
          <w:sz w:val="18"/>
        </w:rPr>
        <w:t>Canonical online assets and the machine-readable specification are maintained in the Region South style-guide repository.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oppins" w:hAnsi="Poppins"/>
        <w:color w:val="5E6B7A"/>
        <w:sz w:val="16"/>
      </w:rPr>
      <w:t xml:space="preserve">Region South Visual Style Guide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Poppins" w:hAnsi="Poppins" w:eastAsia="Poppins"/>
      <w:color w:val="14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Poppins" w:hAnsi="Poppins" w:eastAsia="Poppins"/>
      <w:b/>
      <w:bCs/>
      <w:color w:val="00237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Poppins" w:hAnsi="Poppins" w:eastAsia="Poppins"/>
      <w:b/>
      <w:bCs/>
      <w:color w:val="0023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 w:eastAsia="Poppi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Poppins" w:hAnsi="Poppins" w:eastAsia="Poppins"/>
      <w:b/>
      <w:color w:val="00237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oppins" w:hAnsi="Poppins" w:eastAsia="Poppi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230" w:right="230"/>
    </w:pPr>
    <w:rPr>
      <w:rFonts w:ascii="Poppins" w:hAnsi="Poppins" w:eastAsia="Poppins"/>
      <w:b/>
      <w:color w:val="00237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