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w6ekraa4p6xj" w:id="0"/>
      <w:bookmarkEnd w:id="0"/>
      <w:r w:rsidDel="00000000" w:rsidR="00000000" w:rsidRPr="00000000">
        <w:rPr>
          <w:rtl w:val="0"/>
        </w:rPr>
        <w:t xml:space="preserve">Academic Essay</w:t>
      </w:r>
    </w:p>
    <w:p w:rsidR="00000000" w:rsidDel="00000000" w:rsidP="00000000" w:rsidRDefault="00000000" w:rsidRPr="00000000" w14:paraId="00000003">
      <w:pPr>
        <w:pStyle w:val="Title"/>
        <w:jc w:val="center"/>
        <w:rPr/>
      </w:pPr>
      <w:bookmarkStart w:colFirst="0" w:colLast="0" w:name="_jeq9c4y013z8" w:id="1"/>
      <w:bookmarkEnd w:id="1"/>
      <w:r w:rsidDel="00000000" w:rsidR="00000000" w:rsidRPr="00000000">
        <w:rPr>
          <w:rtl w:val="0"/>
        </w:rPr>
        <w:t xml:space="preserve">Addiction and Eating Disorders in Clinical Practice</w:t>
      </w:r>
    </w:p>
    <w:p w:rsidR="00000000" w:rsidDel="00000000" w:rsidP="00000000" w:rsidRDefault="00000000" w:rsidRPr="00000000" w14:paraId="00000004">
      <w:pPr>
        <w:jc w:val="center"/>
        <w:rPr>
          <w:b w:val="1"/>
          <w:bCs w:val="1"/>
          <w:color w:val="000000"/>
        </w:rPr>
      </w:pPr>
      <w:r w:rsidDel="00000000" w:rsidR="00000000" w:rsidRPr="00000000">
        <w:rPr>
          <w:rtl w:val="0"/>
        </w:rPr>
        <w:t xml:space="preserve">Author: Marioara Rus</w:t>
      </w:r>
      <w:r w:rsidDel="00000000" w:rsidR="00000000" w:rsidRPr="00000000">
        <w:rPr>
          <w:rtl w:val="0"/>
        </w:rPr>
      </w:r>
    </w:p>
    <w:p w:rsidR="00000000" w:rsidDel="00000000" w:rsidP="00000000" w:rsidRDefault="00000000" w:rsidRPr="00000000" w14:paraId="00000005">
      <w:pPr>
        <w:pStyle w:val="Heading3"/>
        <w:spacing w:before="280" w:line="360" w:lineRule="auto"/>
        <w:ind w:firstLine="720"/>
        <w:jc w:val="both"/>
        <w:rPr>
          <w:b w:val="1"/>
          <w:bCs w:val="1"/>
          <w:color w:val="000000"/>
        </w:rPr>
      </w:pPr>
      <w:bookmarkStart w:colFirst="0" w:colLast="0" w:name="_qhk0w9dpizng" w:id="2"/>
      <w:bookmarkEnd w:id="2"/>
      <w:r w:rsidDel="00000000" w:rsidR="00000000" w:rsidRPr="00000000">
        <w:rPr>
          <w:rtl w:val="0"/>
        </w:rPr>
      </w:r>
    </w:p>
    <w:p w:rsidR="00000000" w:rsidDel="00000000" w:rsidP="00000000" w:rsidRDefault="00000000" w:rsidRPr="00000000" w14:paraId="00000006">
      <w:pPr>
        <w:pStyle w:val="Heading3"/>
        <w:spacing w:before="280" w:line="360" w:lineRule="auto"/>
        <w:ind w:firstLine="720"/>
        <w:jc w:val="both"/>
        <w:rPr>
          <w:b w:val="1"/>
          <w:bCs w:val="1"/>
          <w:color w:val="000000"/>
        </w:rPr>
      </w:pPr>
      <w:bookmarkStart w:colFirst="0" w:colLast="0" w:name="_biolugenklod" w:id="3"/>
      <w:bookmarkEnd w:id="3"/>
      <w:r w:rsidDel="00000000" w:rsidR="00000000" w:rsidRPr="00000000">
        <w:rPr>
          <w:b w:val="1"/>
          <w:bCs w:val="1"/>
          <w:color w:val="000000"/>
          <w:rtl w:val="0"/>
        </w:rPr>
        <w:t xml:space="preserve">Introduction</w:t>
      </w:r>
    </w:p>
    <w:p w:rsidR="00000000" w:rsidDel="00000000" w:rsidP="00000000" w:rsidRDefault="00000000" w:rsidRPr="00000000" w14:paraId="00000007">
      <w:pPr>
        <w:spacing w:line="360" w:lineRule="auto"/>
        <w:ind w:firstLine="720"/>
        <w:jc w:val="both"/>
        <w:rPr>
          <w:sz w:val="24"/>
          <w:szCs w:val="24"/>
        </w:rPr>
      </w:pPr>
      <w:r w:rsidDel="00000000" w:rsidR="00000000" w:rsidRPr="00000000">
        <w:rPr>
          <w:sz w:val="24"/>
          <w:szCs w:val="24"/>
          <w:rtl w:val="0"/>
        </w:rPr>
        <w:t xml:space="preserve">Addiction and eating disorders are known as complex and multifaceted conditions that present challenges for individuals, families and clinicians. In the past, these conditions were often understood through narrow medical frameworks, focusing on either the biological pathology or personal responsibility. However, nowadays, the complexity of both addiction and eating disorders is being recognised in psychotherapy and </w:t>
      </w:r>
      <w:r w:rsidDel="00000000" w:rsidR="00000000" w:rsidRPr="00000000">
        <w:rPr>
          <w:sz w:val="24"/>
          <w:szCs w:val="24"/>
          <w:rtl w:val="0"/>
        </w:rPr>
        <w:t xml:space="preserve">conselling</w:t>
      </w:r>
      <w:r w:rsidDel="00000000" w:rsidR="00000000" w:rsidRPr="00000000">
        <w:rPr>
          <w:sz w:val="24"/>
          <w:szCs w:val="24"/>
          <w:rtl w:val="0"/>
        </w:rPr>
        <w:t xml:space="preserve"> practice as the interaction of biological vulnerability, psychological processes, and environmental experience. Trauma-informed perspectives have further broadened this understanding by showing how behaviours that seem to be self-destructive may at some point have served an adaptive purpose to possibly overwhelming stress, a disrupted attachment or emotional dysregulations.</w:t>
      </w:r>
    </w:p>
    <w:p w:rsidR="00000000" w:rsidDel="00000000" w:rsidP="00000000" w:rsidRDefault="00000000" w:rsidRPr="00000000" w14:paraId="00000008">
      <w:pPr>
        <w:spacing w:line="360" w:lineRule="auto"/>
        <w:ind w:firstLine="720"/>
        <w:jc w:val="both"/>
        <w:rPr>
          <w:sz w:val="24"/>
          <w:szCs w:val="24"/>
        </w:rPr>
      </w:pPr>
      <w:r w:rsidDel="00000000" w:rsidR="00000000" w:rsidRPr="00000000">
        <w:rPr>
          <w:sz w:val="24"/>
          <w:szCs w:val="24"/>
          <w:rtl w:val="0"/>
        </w:rPr>
        <w:t xml:space="preserve">This essay explores addiction and eating disorders through a clinical and trauma-informed lens. It begins by outlining key clinical definitions before examining different types of addictions and eating disorders. Followed by the nature versus nurture lens, exploring the interaction between the gene and the environment in understanding vulnerability and resilience. </w:t>
      </w:r>
      <w:r w:rsidDel="00000000" w:rsidR="00000000" w:rsidRPr="00000000">
        <w:rPr>
          <w:sz w:val="24"/>
          <w:szCs w:val="24"/>
          <w:rtl w:val="0"/>
        </w:rPr>
        <w:t xml:space="preserve">Continuing with the review of the</w:t>
      </w:r>
      <w:r w:rsidDel="00000000" w:rsidR="00000000" w:rsidRPr="00000000">
        <w:rPr>
          <w:sz w:val="24"/>
          <w:szCs w:val="24"/>
          <w:rtl w:val="0"/>
        </w:rPr>
        <w:t xml:space="preserve"> evidence-based clinical approaches used in the treatment of addiction and eating disorders. Finally, the essay reflects on the implications for therapeutic practice, arguing that effective treatment requires an integrated, compassionate, and relational approach that addresses both symptoms and their underlying meaning.</w:t>
      </w:r>
    </w:p>
    <w:p w:rsidR="00000000" w:rsidDel="00000000" w:rsidP="00000000" w:rsidRDefault="00000000" w:rsidRPr="00000000" w14:paraId="00000009">
      <w:pPr>
        <w:pStyle w:val="Heading3"/>
        <w:spacing w:before="280" w:line="360" w:lineRule="auto"/>
        <w:ind w:firstLine="720"/>
        <w:jc w:val="both"/>
        <w:rPr>
          <w:b w:val="1"/>
          <w:bCs w:val="1"/>
          <w:color w:val="000000"/>
        </w:rPr>
      </w:pPr>
      <w:bookmarkStart w:colFirst="0" w:colLast="0" w:name="_tuik8vm6lgg1" w:id="4"/>
      <w:bookmarkEnd w:id="4"/>
      <w:r w:rsidDel="00000000" w:rsidR="00000000" w:rsidRPr="00000000">
        <w:rPr>
          <w:b w:val="1"/>
          <w:bCs w:val="1"/>
          <w:color w:val="000000"/>
          <w:rtl w:val="0"/>
        </w:rPr>
        <w:t xml:space="preserve">Clinical definitions</w:t>
      </w:r>
    </w:p>
    <w:p w:rsidR="00000000" w:rsidDel="00000000" w:rsidP="00000000" w:rsidRDefault="00000000" w:rsidRPr="00000000" w14:paraId="0000000A">
      <w:pPr>
        <w:pStyle w:val="Heading4"/>
        <w:spacing w:after="40" w:before="240" w:line="240" w:lineRule="auto"/>
        <w:ind w:firstLine="720"/>
        <w:rPr>
          <w:b w:val="1"/>
          <w:bCs w:val="1"/>
          <w:color w:val="000000"/>
        </w:rPr>
      </w:pPr>
      <w:bookmarkStart w:colFirst="0" w:colLast="0" w:name="_p33lcbeuvaa" w:id="5"/>
      <w:bookmarkEnd w:id="5"/>
      <w:r w:rsidDel="00000000" w:rsidR="00000000" w:rsidRPr="00000000">
        <w:rPr>
          <w:b w:val="1"/>
          <w:bCs w:val="1"/>
          <w:color w:val="000000"/>
          <w:rtl w:val="0"/>
        </w:rPr>
        <w:t xml:space="preserve">Addiction</w:t>
      </w:r>
    </w:p>
    <w:p w:rsidR="00000000" w:rsidDel="00000000" w:rsidP="00000000" w:rsidRDefault="00000000" w:rsidRPr="00000000" w14:paraId="0000000B">
      <w:pPr>
        <w:spacing w:line="360" w:lineRule="auto"/>
        <w:ind w:firstLine="720"/>
        <w:jc w:val="both"/>
        <w:rPr>
          <w:sz w:val="24"/>
          <w:szCs w:val="24"/>
        </w:rPr>
      </w:pPr>
      <w:r w:rsidDel="00000000" w:rsidR="00000000" w:rsidRPr="00000000">
        <w:rPr>
          <w:sz w:val="24"/>
          <w:szCs w:val="24"/>
          <w:rtl w:val="0"/>
        </w:rPr>
        <w:t xml:space="preserve">Clinically, addiction is understood as a chronic, relapsing condition characterised by compulsive engagement with a substance or behaviour despite negative consequences. The Diagnostic and Statistical Manual of Mental Disorders (DSM-5-TR) describes addiction as involving changes in brain circuits related to reward, motivation, memory, and self-control (American Psychiatric Association, 2022).</w:t>
      </w:r>
    </w:p>
    <w:p w:rsidR="00000000" w:rsidDel="00000000" w:rsidP="00000000" w:rsidRDefault="00000000" w:rsidRPr="00000000" w14:paraId="0000000C">
      <w:pPr>
        <w:spacing w:line="360" w:lineRule="auto"/>
        <w:ind w:firstLine="720"/>
        <w:jc w:val="both"/>
        <w:rPr>
          <w:sz w:val="24"/>
          <w:szCs w:val="24"/>
        </w:rPr>
      </w:pPr>
      <w:r w:rsidDel="00000000" w:rsidR="00000000" w:rsidRPr="00000000">
        <w:rPr>
          <w:sz w:val="24"/>
          <w:szCs w:val="24"/>
          <w:rtl w:val="0"/>
        </w:rPr>
        <w:t xml:space="preserve">From a holistic, trauma-informed perspective, addiction is viewed not only as a neurobiological or behavioural disorder, but also as an adaptive response to overwhelming stress, pain or dysregulation. In this frame, addiction can be seen as an attempt to regulate unbearable internal states, numbing, soothing, or escaping sensations tied to an experience or environment that overwhelmed the nervous system. The focus shifts from “What’s wrong with you?” to “What happened to you?”. Internal Family Systems theory conceptualises addictive behaviours as protective attempts from intolerable emotional states even while perpetuating a cycle of negative self-image, criticism and shame (Schwartz and Sweezy, 2020).</w:t>
      </w:r>
    </w:p>
    <w:p w:rsidR="00000000" w:rsidDel="00000000" w:rsidP="00000000" w:rsidRDefault="00000000" w:rsidRPr="00000000" w14:paraId="0000000D">
      <w:pPr>
        <w:pStyle w:val="Heading4"/>
        <w:spacing w:after="40" w:before="240" w:line="360" w:lineRule="auto"/>
        <w:ind w:firstLine="720"/>
        <w:jc w:val="both"/>
        <w:rPr>
          <w:b w:val="1"/>
          <w:bCs w:val="1"/>
          <w:color w:val="000000"/>
        </w:rPr>
      </w:pPr>
      <w:bookmarkStart w:colFirst="0" w:colLast="0" w:name="_a91d2ivp2qrh" w:id="6"/>
      <w:bookmarkEnd w:id="6"/>
      <w:r w:rsidDel="00000000" w:rsidR="00000000" w:rsidRPr="00000000">
        <w:rPr>
          <w:b w:val="1"/>
          <w:bCs w:val="1"/>
          <w:color w:val="000000"/>
          <w:rtl w:val="0"/>
        </w:rPr>
        <w:t xml:space="preserve">Eating Disorders</w:t>
      </w:r>
    </w:p>
    <w:p w:rsidR="00000000" w:rsidDel="00000000" w:rsidP="00000000" w:rsidRDefault="00000000" w:rsidRPr="00000000" w14:paraId="0000000E">
      <w:pPr>
        <w:spacing w:line="360" w:lineRule="auto"/>
        <w:ind w:firstLine="720"/>
        <w:jc w:val="both"/>
        <w:rPr>
          <w:sz w:val="24"/>
          <w:szCs w:val="24"/>
        </w:rPr>
      </w:pPr>
      <w:r w:rsidDel="00000000" w:rsidR="00000000" w:rsidRPr="00000000">
        <w:rPr>
          <w:sz w:val="24"/>
          <w:szCs w:val="24"/>
          <w:rtl w:val="0"/>
        </w:rPr>
        <w:t xml:space="preserve">Clinically</w:t>
      </w:r>
      <w:r w:rsidDel="00000000" w:rsidR="00000000" w:rsidRPr="00000000">
        <w:rPr>
          <w:b w:val="1"/>
          <w:bCs w:val="1"/>
          <w:sz w:val="24"/>
          <w:szCs w:val="24"/>
          <w:rtl w:val="0"/>
        </w:rPr>
        <w:t xml:space="preserve">,</w:t>
      </w:r>
      <w:r w:rsidDel="00000000" w:rsidR="00000000" w:rsidRPr="00000000">
        <w:rPr>
          <w:sz w:val="24"/>
          <w:szCs w:val="24"/>
          <w:rtl w:val="0"/>
        </w:rPr>
        <w:t xml:space="preserve"> eating disorders are defined by the “persistent disturbance of eating or eating-related behaviours that results in altered consumption or absorption of food and that significantly impairs physical health or psychosocial functioning” (American Psychiatric Association, 2022). This framework focuses on observable symptoms and behaviours. </w:t>
      </w:r>
    </w:p>
    <w:p w:rsidR="00000000" w:rsidDel="00000000" w:rsidP="00000000" w:rsidRDefault="00000000" w:rsidRPr="00000000" w14:paraId="0000000F">
      <w:pPr>
        <w:spacing w:line="360" w:lineRule="auto"/>
        <w:ind w:firstLine="720"/>
        <w:jc w:val="both"/>
        <w:rPr>
          <w:sz w:val="24"/>
          <w:szCs w:val="24"/>
        </w:rPr>
      </w:pPr>
      <w:r w:rsidDel="00000000" w:rsidR="00000000" w:rsidRPr="00000000">
        <w:rPr>
          <w:sz w:val="24"/>
          <w:szCs w:val="24"/>
          <w:rtl w:val="0"/>
        </w:rPr>
        <w:t xml:space="preserve">A holistic, trauma-informed understanding expands the focus from symptoms to the underlying functions of those behaviours. From this lens, eating disorders are seen as adaptive survival responses to experiences of threat, shame, neglect, or emotional overwhelm. The behaviours often serve to regulate the nervous system when emotions feel unmanageable, enable dissociation from physical sensations or memories, restore a sense of control or communicate distress when words or safety felt unavailable. In trauma-informed care, the eating disorder is not the core problem but a protective strategy that once helped the person survive. Treatment focuses on building safety, self-regulation, and connection before challenging behaviours directly.</w:t>
      </w:r>
    </w:p>
    <w:p w:rsidR="00000000" w:rsidDel="00000000" w:rsidP="00000000" w:rsidRDefault="00000000" w:rsidRPr="00000000" w14:paraId="00000010">
      <w:pPr>
        <w:pStyle w:val="Heading3"/>
        <w:spacing w:before="280" w:line="360" w:lineRule="auto"/>
        <w:ind w:firstLine="720"/>
        <w:jc w:val="both"/>
        <w:rPr>
          <w:b w:val="1"/>
          <w:bCs w:val="1"/>
          <w:color w:val="000000"/>
        </w:rPr>
      </w:pPr>
      <w:bookmarkStart w:colFirst="0" w:colLast="0" w:name="_n3kl6bpnqr33" w:id="7"/>
      <w:bookmarkEnd w:id="7"/>
      <w:r w:rsidDel="00000000" w:rsidR="00000000" w:rsidRPr="00000000">
        <w:rPr>
          <w:b w:val="1"/>
          <w:bCs w:val="1"/>
          <w:color w:val="000000"/>
          <w:rtl w:val="0"/>
        </w:rPr>
        <w:t xml:space="preserve">Types of Addictions</w:t>
      </w:r>
    </w:p>
    <w:p w:rsidR="00000000" w:rsidDel="00000000" w:rsidP="00000000" w:rsidRDefault="00000000" w:rsidRPr="00000000" w14:paraId="00000011">
      <w:pPr>
        <w:pStyle w:val="Heading4"/>
        <w:spacing w:after="40" w:before="240" w:line="360" w:lineRule="auto"/>
        <w:ind w:firstLine="720"/>
        <w:jc w:val="both"/>
        <w:rPr>
          <w:b w:val="1"/>
          <w:bCs w:val="1"/>
          <w:color w:val="000000"/>
        </w:rPr>
      </w:pPr>
      <w:bookmarkStart w:colFirst="0" w:colLast="0" w:name="_bk05od9bhrvr" w:id="8"/>
      <w:bookmarkEnd w:id="8"/>
      <w:r w:rsidDel="00000000" w:rsidR="00000000" w:rsidRPr="00000000">
        <w:rPr>
          <w:b w:val="1"/>
          <w:bCs w:val="1"/>
          <w:color w:val="000000"/>
          <w:rtl w:val="0"/>
        </w:rPr>
        <w:t xml:space="preserve">Substance Addictions </w:t>
      </w:r>
    </w:p>
    <w:p w:rsidR="00000000" w:rsidDel="00000000" w:rsidP="00000000" w:rsidRDefault="00000000" w:rsidRPr="00000000" w14:paraId="00000012">
      <w:pPr>
        <w:spacing w:line="360" w:lineRule="auto"/>
        <w:ind w:firstLine="720"/>
        <w:jc w:val="both"/>
        <w:rPr>
          <w:sz w:val="24"/>
          <w:szCs w:val="24"/>
        </w:rPr>
      </w:pPr>
      <w:r w:rsidDel="00000000" w:rsidR="00000000" w:rsidRPr="00000000">
        <w:rPr>
          <w:sz w:val="24"/>
          <w:szCs w:val="24"/>
          <w:rtl w:val="0"/>
        </w:rPr>
        <w:t xml:space="preserve">Substance addictions involve the repeated use of psychoactive substances that alter brain chemistry and reinforce compulsive patterns. These disorders are formally recognised within the DSM-5-TR under “Substance-Related and Addictive Disorders” and include alcohol use disorder, opioid use disorder, stimulant use disorder, cannabis use disorder, sedative or anxiolytic use disorder, and nicotine dependence (American Psychiatric Association, 2022). While substances differ in their pharmacological effects, they share the capacity to hijack reward and stress-regulation systems, increasing vulnerability to dependence.</w:t>
      </w:r>
    </w:p>
    <w:p w:rsidR="00000000" w:rsidDel="00000000" w:rsidP="00000000" w:rsidRDefault="00000000" w:rsidRPr="00000000" w14:paraId="00000013">
      <w:pPr>
        <w:pStyle w:val="Heading4"/>
        <w:spacing w:after="40" w:before="240" w:line="360" w:lineRule="auto"/>
        <w:ind w:firstLine="720"/>
        <w:jc w:val="both"/>
        <w:rPr>
          <w:b w:val="1"/>
          <w:bCs w:val="1"/>
          <w:color w:val="000000"/>
        </w:rPr>
      </w:pPr>
      <w:bookmarkStart w:colFirst="0" w:colLast="0" w:name="_9p4y9bax4ufu" w:id="9"/>
      <w:bookmarkEnd w:id="9"/>
      <w:r w:rsidDel="00000000" w:rsidR="00000000" w:rsidRPr="00000000">
        <w:rPr>
          <w:b w:val="1"/>
          <w:bCs w:val="1"/>
          <w:color w:val="000000"/>
          <w:rtl w:val="0"/>
        </w:rPr>
        <w:t xml:space="preserve">Behavioural (Process) Addictions</w:t>
      </w:r>
    </w:p>
    <w:p w:rsidR="00000000" w:rsidDel="00000000" w:rsidP="00000000" w:rsidRDefault="00000000" w:rsidRPr="00000000" w14:paraId="00000014">
      <w:pPr>
        <w:spacing w:line="360" w:lineRule="auto"/>
        <w:ind w:firstLine="720"/>
        <w:jc w:val="both"/>
        <w:rPr>
          <w:sz w:val="24"/>
          <w:szCs w:val="24"/>
        </w:rPr>
      </w:pPr>
      <w:r w:rsidDel="00000000" w:rsidR="00000000" w:rsidRPr="00000000">
        <w:rPr>
          <w:sz w:val="24"/>
          <w:szCs w:val="24"/>
          <w:rtl w:val="0"/>
        </w:rPr>
        <w:t xml:space="preserve">Behavioural addictions do not involve ingesting substances but are characterised by compulsive engagement in rewarding activities. Examples include gambling disorder, gaming disorder, compulsive sexual behaviour, compulsive buying, work addiction, and excessive exercise. Gaming disorder is recognised in the International Classification of Diseases (ICD-11), while other behavioural addictions remain more contested diagnostically (World Health Organization, 2019). Despite this, neurobiological research suggests that there are very similar activated reward pathways for both substance and behavioural addictions, reinforcing cycles of craving and temporary relief.</w:t>
      </w:r>
    </w:p>
    <w:p w:rsidR="00000000" w:rsidDel="00000000" w:rsidP="00000000" w:rsidRDefault="00000000" w:rsidRPr="00000000" w14:paraId="00000015">
      <w:pPr>
        <w:pStyle w:val="Heading3"/>
        <w:spacing w:before="280" w:line="360" w:lineRule="auto"/>
        <w:ind w:firstLine="720"/>
        <w:jc w:val="both"/>
        <w:rPr>
          <w:b w:val="1"/>
          <w:bCs w:val="1"/>
          <w:color w:val="000000"/>
        </w:rPr>
      </w:pPr>
      <w:bookmarkStart w:colFirst="0" w:colLast="0" w:name="_t0uzbxghjhek" w:id="10"/>
      <w:bookmarkEnd w:id="10"/>
      <w:r w:rsidDel="00000000" w:rsidR="00000000" w:rsidRPr="00000000">
        <w:rPr>
          <w:b w:val="1"/>
          <w:bCs w:val="1"/>
          <w:color w:val="000000"/>
          <w:rtl w:val="0"/>
        </w:rPr>
        <w:t xml:space="preserve">Types of Eating Disorders</w:t>
      </w:r>
    </w:p>
    <w:p w:rsidR="00000000" w:rsidDel="00000000" w:rsidP="00000000" w:rsidRDefault="00000000" w:rsidRPr="00000000" w14:paraId="00000016">
      <w:pPr>
        <w:spacing w:line="360" w:lineRule="auto"/>
        <w:ind w:firstLine="720"/>
        <w:jc w:val="both"/>
        <w:rPr>
          <w:sz w:val="24"/>
          <w:szCs w:val="24"/>
        </w:rPr>
      </w:pPr>
      <w:r w:rsidDel="00000000" w:rsidR="00000000" w:rsidRPr="00000000">
        <w:rPr>
          <w:sz w:val="24"/>
          <w:szCs w:val="24"/>
          <w:rtl w:val="0"/>
        </w:rPr>
        <w:t xml:space="preserve">Eating disorders cover a range of diagnoses with distinct clinical features. Anorexia nervosa is characterised by persistent restriction of food intake leading to significantly low body weight, an intense fear of gaining weight, and a distorted body image or denial of the seriousness of low weight. Individuals often maintain rigid control over eating, exercise, and body appearance, with presentations including restricting and binge–purge subtypes. </w:t>
      </w:r>
    </w:p>
    <w:p w:rsidR="00000000" w:rsidDel="00000000" w:rsidP="00000000" w:rsidRDefault="00000000" w:rsidRPr="00000000" w14:paraId="00000017">
      <w:pPr>
        <w:spacing w:line="360" w:lineRule="auto"/>
        <w:ind w:firstLine="720"/>
        <w:jc w:val="both"/>
        <w:rPr>
          <w:sz w:val="24"/>
          <w:szCs w:val="24"/>
        </w:rPr>
      </w:pPr>
      <w:r w:rsidDel="00000000" w:rsidR="00000000" w:rsidRPr="00000000">
        <w:rPr>
          <w:sz w:val="24"/>
          <w:szCs w:val="24"/>
          <w:rtl w:val="0"/>
        </w:rPr>
        <w:t xml:space="preserve">Bulimia nervosa involves recurrent episodes of binge eating accompanied by compensatory behaviours such as vomiting, fasting, excessive exercise, or misuse of laxatives or diuretics. Unlike anorexia nervosa, individuals with bulimia typically maintain a body weight within or above the normal range, with self-worth heavily influenced by body shape and weight.</w:t>
      </w:r>
    </w:p>
    <w:p w:rsidR="00000000" w:rsidDel="00000000" w:rsidP="00000000" w:rsidRDefault="00000000" w:rsidRPr="00000000" w14:paraId="00000018">
      <w:pPr>
        <w:spacing w:line="360" w:lineRule="auto"/>
        <w:ind w:firstLine="720"/>
        <w:jc w:val="both"/>
        <w:rPr>
          <w:sz w:val="24"/>
          <w:szCs w:val="24"/>
        </w:rPr>
      </w:pPr>
      <w:r w:rsidDel="00000000" w:rsidR="00000000" w:rsidRPr="00000000">
        <w:rPr>
          <w:sz w:val="24"/>
          <w:szCs w:val="24"/>
          <w:rtl w:val="0"/>
        </w:rPr>
        <w:t xml:space="preserve">Binge-eating disorder is defined by recurrent binge eating in the absence of regular compensatory </w:t>
      </w:r>
      <w:r w:rsidDel="00000000" w:rsidR="00000000" w:rsidRPr="00000000">
        <w:rPr>
          <w:sz w:val="24"/>
          <w:szCs w:val="24"/>
          <w:rtl w:val="0"/>
        </w:rPr>
        <w:t xml:space="preserve">behaviours and</w:t>
      </w:r>
      <w:r w:rsidDel="00000000" w:rsidR="00000000" w:rsidRPr="00000000">
        <w:rPr>
          <w:sz w:val="24"/>
          <w:szCs w:val="24"/>
          <w:rtl w:val="0"/>
        </w:rPr>
        <w:t xml:space="preserve"> is commonly associated with eating rapidly, eating to discomfort, or eating when not physically hungry. Episodes are frequently followed by intense guilt, shame, or distress and are often linked to difficulties in emotional regulation, trauma histories, or chronic dieting patterns.</w:t>
      </w:r>
    </w:p>
    <w:p w:rsidR="00000000" w:rsidDel="00000000" w:rsidP="00000000" w:rsidRDefault="00000000" w:rsidRPr="00000000" w14:paraId="00000019">
      <w:pPr>
        <w:spacing w:line="360" w:lineRule="auto"/>
        <w:ind w:firstLine="720"/>
        <w:jc w:val="both"/>
        <w:rPr>
          <w:sz w:val="24"/>
          <w:szCs w:val="24"/>
        </w:rPr>
      </w:pPr>
      <w:r w:rsidDel="00000000" w:rsidR="00000000" w:rsidRPr="00000000">
        <w:rPr>
          <w:sz w:val="24"/>
          <w:szCs w:val="24"/>
          <w:rtl w:val="0"/>
        </w:rPr>
        <w:t xml:space="preserve">Other diagnoses include avoidant/restrictive food intake disorder (ARFID), which involves restriction of food intake without body image disturbance and may stem from sensory sensitivities, fear of choking or vomiting, or low appetite, often leading to nutritional deficiency or psychosocial impairment.</w:t>
      </w:r>
    </w:p>
    <w:p w:rsidR="00000000" w:rsidDel="00000000" w:rsidP="00000000" w:rsidRDefault="00000000" w:rsidRPr="00000000" w14:paraId="0000001A">
      <w:pPr>
        <w:spacing w:line="360" w:lineRule="auto"/>
        <w:ind w:firstLine="720"/>
        <w:jc w:val="both"/>
        <w:rPr>
          <w:sz w:val="24"/>
          <w:szCs w:val="24"/>
        </w:rPr>
      </w:pPr>
      <w:r w:rsidDel="00000000" w:rsidR="00000000" w:rsidRPr="00000000">
        <w:rPr>
          <w:sz w:val="24"/>
          <w:szCs w:val="24"/>
          <w:rtl w:val="0"/>
        </w:rPr>
        <w:t xml:space="preserve">Pica is characterised by the persistent ingestion of non-food substances, while rumination disorder involves repeated regurgitation of food not attributable to a medical condition.</w:t>
      </w:r>
    </w:p>
    <w:p w:rsidR="00000000" w:rsidDel="00000000" w:rsidP="00000000" w:rsidRDefault="00000000" w:rsidRPr="00000000" w14:paraId="0000001B">
      <w:pPr>
        <w:spacing w:line="360" w:lineRule="auto"/>
        <w:ind w:firstLine="720"/>
        <w:jc w:val="both"/>
        <w:rPr>
          <w:sz w:val="24"/>
          <w:szCs w:val="24"/>
        </w:rPr>
      </w:pPr>
      <w:r w:rsidDel="00000000" w:rsidR="00000000" w:rsidRPr="00000000">
        <w:rPr>
          <w:sz w:val="24"/>
          <w:szCs w:val="24"/>
          <w:rtl w:val="0"/>
        </w:rPr>
        <w:t xml:space="preserve">Orthorexia nervosa and anorexia athletica, although not formally recognised within the DSM-5-TR, describe clinically significant patterns of rigid food rules or compulsive exercise that can </w:t>
      </w:r>
      <w:r w:rsidDel="00000000" w:rsidR="00000000" w:rsidRPr="00000000">
        <w:rPr>
          <w:sz w:val="24"/>
          <w:szCs w:val="24"/>
          <w:rtl w:val="0"/>
        </w:rPr>
        <w:t xml:space="preserve">result in</w:t>
      </w:r>
      <w:r w:rsidDel="00000000" w:rsidR="00000000" w:rsidRPr="00000000">
        <w:rPr>
          <w:sz w:val="24"/>
          <w:szCs w:val="24"/>
          <w:rtl w:val="0"/>
        </w:rPr>
        <w:t xml:space="preserve"> physical harm, psychological distress, and social isolation.</w:t>
      </w:r>
    </w:p>
    <w:p w:rsidR="00000000" w:rsidDel="00000000" w:rsidP="00000000" w:rsidRDefault="00000000" w:rsidRPr="00000000" w14:paraId="0000001C">
      <w:pPr>
        <w:pStyle w:val="Heading3"/>
        <w:spacing w:before="280" w:line="360" w:lineRule="auto"/>
        <w:ind w:firstLine="720"/>
        <w:jc w:val="both"/>
        <w:rPr>
          <w:b w:val="1"/>
          <w:bCs w:val="1"/>
          <w:color w:val="000000"/>
        </w:rPr>
      </w:pPr>
      <w:bookmarkStart w:colFirst="0" w:colLast="0" w:name="_8oeszaj1yrn4" w:id="11"/>
      <w:bookmarkEnd w:id="11"/>
      <w:r w:rsidDel="00000000" w:rsidR="00000000" w:rsidRPr="00000000">
        <w:rPr>
          <w:b w:val="1"/>
          <w:bCs w:val="1"/>
          <w:color w:val="000000"/>
          <w:rtl w:val="0"/>
        </w:rPr>
        <w:t xml:space="preserve">Nature and Nurture</w:t>
      </w:r>
    </w:p>
    <w:p w:rsidR="00000000" w:rsidDel="00000000" w:rsidP="00000000" w:rsidRDefault="00000000" w:rsidRPr="00000000" w14:paraId="0000001D">
      <w:pPr>
        <w:pStyle w:val="Heading4"/>
        <w:spacing w:after="40" w:before="240" w:line="240" w:lineRule="auto"/>
        <w:ind w:firstLine="720"/>
        <w:rPr>
          <w:b w:val="1"/>
          <w:bCs w:val="1"/>
          <w:color w:val="000000"/>
        </w:rPr>
      </w:pPr>
      <w:bookmarkStart w:colFirst="0" w:colLast="0" w:name="_e1c7rew1vd4m" w:id="12"/>
      <w:bookmarkEnd w:id="12"/>
      <w:r w:rsidDel="00000000" w:rsidR="00000000" w:rsidRPr="00000000">
        <w:rPr>
          <w:b w:val="1"/>
          <w:bCs w:val="1"/>
          <w:color w:val="000000"/>
          <w:rtl w:val="0"/>
        </w:rPr>
        <w:t xml:space="preserve">Addiction</w:t>
      </w:r>
    </w:p>
    <w:p w:rsidR="00000000" w:rsidDel="00000000" w:rsidP="00000000" w:rsidRDefault="00000000" w:rsidRPr="00000000" w14:paraId="0000001E">
      <w:pPr>
        <w:spacing w:line="360" w:lineRule="auto"/>
        <w:ind w:firstLine="720"/>
        <w:jc w:val="both"/>
        <w:rPr>
          <w:sz w:val="24"/>
          <w:szCs w:val="24"/>
        </w:rPr>
      </w:pPr>
      <w:r w:rsidDel="00000000" w:rsidR="00000000" w:rsidRPr="00000000">
        <w:rPr>
          <w:sz w:val="24"/>
          <w:szCs w:val="24"/>
          <w:rtl w:val="0"/>
        </w:rPr>
        <w:t xml:space="preserve">Research consistently demonstrates that addiction arises from the interaction of genetic vulnerability and environmental exposure. Some studies estimate that between 40 and 60 per cent of addiction risk is heritable, with genetic variants influencing dopamine signalling, stress reactivity, and impulse control (Thombs and Osborn, 2019). Each gene contributes a small effect, but combined variants increase vulnerability.</w:t>
      </w:r>
    </w:p>
    <w:p w:rsidR="00000000" w:rsidDel="00000000" w:rsidP="00000000" w:rsidRDefault="00000000" w:rsidRPr="00000000" w14:paraId="0000001F">
      <w:pPr>
        <w:spacing w:line="360" w:lineRule="auto"/>
        <w:ind w:firstLine="720"/>
        <w:jc w:val="both"/>
        <w:rPr>
          <w:sz w:val="24"/>
          <w:szCs w:val="24"/>
        </w:rPr>
      </w:pPr>
      <w:r w:rsidDel="00000000" w:rsidR="00000000" w:rsidRPr="00000000">
        <w:rPr>
          <w:sz w:val="24"/>
          <w:szCs w:val="24"/>
          <w:rtl w:val="0"/>
        </w:rPr>
        <w:t xml:space="preserve">Environmental factors play a particularly significant role in initiation and progression. As Gabor Mate mentioned in his book </w:t>
      </w:r>
      <w:r w:rsidDel="00000000" w:rsidR="00000000" w:rsidRPr="00000000">
        <w:rPr>
          <w:i w:val="1"/>
          <w:iCs w:val="1"/>
          <w:sz w:val="24"/>
          <w:szCs w:val="24"/>
          <w:rtl w:val="0"/>
        </w:rPr>
        <w:t xml:space="preserve">In the realm of Hungry Ghosts</w:t>
      </w:r>
      <w:r w:rsidDel="00000000" w:rsidR="00000000" w:rsidRPr="00000000">
        <w:rPr>
          <w:sz w:val="24"/>
          <w:szCs w:val="24"/>
          <w:rtl w:val="0"/>
        </w:rPr>
        <w:t xml:space="preserve">, the three dominant brain systems in addiction: the opioid attachment-reward system, the dopamine-based incentive-motivation apparatus and the self-regulation areas of the prefrontal cortex-are all exquisitely fine-tuned by the environment. Early exposure to substances, family modelling, peer influence, chronic stress, trauma, and socioeconomic adversity all increase risk. Stressful environments may also produce epigenetic changes that alter gene expression, amplifying susceptibility. Importantly, genetic risk is not deterministic, it is more likely to manifest in environments characterised by instability, neglect, or ongoing threat.</w:t>
      </w:r>
    </w:p>
    <w:p w:rsidR="00000000" w:rsidDel="00000000" w:rsidP="00000000" w:rsidRDefault="00000000" w:rsidRPr="00000000" w14:paraId="00000020">
      <w:pPr>
        <w:pStyle w:val="Heading4"/>
        <w:spacing w:after="40" w:before="240" w:line="240" w:lineRule="auto"/>
        <w:ind w:firstLine="720"/>
        <w:rPr>
          <w:b w:val="1"/>
          <w:bCs w:val="1"/>
          <w:color w:val="000000"/>
        </w:rPr>
      </w:pPr>
      <w:bookmarkStart w:colFirst="0" w:colLast="0" w:name="_lg3swea7k9xh" w:id="13"/>
      <w:bookmarkEnd w:id="13"/>
      <w:r w:rsidDel="00000000" w:rsidR="00000000" w:rsidRPr="00000000">
        <w:rPr>
          <w:b w:val="1"/>
          <w:bCs w:val="1"/>
          <w:color w:val="000000"/>
          <w:rtl w:val="0"/>
        </w:rPr>
        <w:t xml:space="preserve">Eating Disorders</w:t>
      </w:r>
    </w:p>
    <w:p w:rsidR="00000000" w:rsidDel="00000000" w:rsidP="00000000" w:rsidRDefault="00000000" w:rsidRPr="00000000" w14:paraId="00000021">
      <w:pPr>
        <w:spacing w:line="360" w:lineRule="auto"/>
        <w:ind w:firstLine="720"/>
        <w:jc w:val="both"/>
        <w:rPr>
          <w:sz w:val="24"/>
          <w:szCs w:val="24"/>
        </w:rPr>
      </w:pPr>
      <w:r w:rsidDel="00000000" w:rsidR="00000000" w:rsidRPr="00000000">
        <w:rPr>
          <w:sz w:val="24"/>
          <w:szCs w:val="24"/>
          <w:rtl w:val="0"/>
        </w:rPr>
        <w:t xml:space="preserve">Eating disorders are similarly classified as biopsychosocial illnesses. Seubert (2018) describes them as arising from a “complex interplay” of genes, temperament, attachment, culture, and life experiences. Heritability estimates vary by diagnosis, with anorexia nervosa showing particularly high genetic contribution</w:t>
      </w:r>
      <w:r w:rsidDel="00000000" w:rsidR="00000000" w:rsidRPr="00000000">
        <w:rPr>
          <w:sz w:val="24"/>
          <w:szCs w:val="24"/>
          <w:rtl w:val="0"/>
        </w:rPr>
        <w:t xml:space="preserve">, while environmental</w:t>
      </w:r>
      <w:r w:rsidDel="00000000" w:rsidR="00000000" w:rsidRPr="00000000">
        <w:rPr>
          <w:sz w:val="24"/>
          <w:szCs w:val="24"/>
          <w:rtl w:val="0"/>
        </w:rPr>
        <w:t xml:space="preserve"> factors such as dieting culture, weight stigma, trauma, and family dynamics strongly influence expression.</w:t>
      </w:r>
    </w:p>
    <w:p w:rsidR="00000000" w:rsidDel="00000000" w:rsidP="00000000" w:rsidRDefault="00000000" w:rsidRPr="00000000" w14:paraId="00000022">
      <w:pPr>
        <w:spacing w:line="360" w:lineRule="auto"/>
        <w:ind w:firstLine="720"/>
        <w:jc w:val="both"/>
        <w:rPr>
          <w:sz w:val="24"/>
          <w:szCs w:val="24"/>
        </w:rPr>
      </w:pPr>
      <w:r w:rsidDel="00000000" w:rsidR="00000000" w:rsidRPr="00000000">
        <w:rPr>
          <w:sz w:val="24"/>
          <w:szCs w:val="24"/>
          <w:rtl w:val="0"/>
        </w:rPr>
        <w:t xml:space="preserve">Psychological traits include perfectionism, anxiety, and obsessive tendencies, while sociocultural pressures emphasise thinness. Gene–environment interaction helps explain why individuals with similar genetic risk may have different outcomes depending on their relational and cultural contexts. </w:t>
      </w:r>
    </w:p>
    <w:p w:rsidR="00000000" w:rsidDel="00000000" w:rsidP="00000000" w:rsidRDefault="00000000" w:rsidRPr="00000000" w14:paraId="00000023">
      <w:pPr>
        <w:pStyle w:val="Heading2"/>
        <w:spacing w:after="80" w:line="360" w:lineRule="auto"/>
        <w:ind w:firstLine="720"/>
        <w:jc w:val="both"/>
        <w:rPr>
          <w:b w:val="1"/>
          <w:bCs w:val="1"/>
          <w:sz w:val="36"/>
          <w:szCs w:val="36"/>
        </w:rPr>
      </w:pPr>
      <w:bookmarkStart w:colFirst="0" w:colLast="0" w:name="_prgxwhdwyzj7" w:id="14"/>
      <w:bookmarkEnd w:id="14"/>
      <w:r w:rsidDel="00000000" w:rsidR="00000000" w:rsidRPr="00000000">
        <w:rPr>
          <w:b w:val="1"/>
          <w:bCs w:val="1"/>
          <w:sz w:val="36"/>
          <w:szCs w:val="36"/>
          <w:rtl w:val="0"/>
        </w:rPr>
        <w:t xml:space="preserve">Clinical Approaches</w:t>
      </w:r>
    </w:p>
    <w:p w:rsidR="00000000" w:rsidDel="00000000" w:rsidP="00000000" w:rsidRDefault="00000000" w:rsidRPr="00000000" w14:paraId="00000024">
      <w:pPr>
        <w:spacing w:line="360" w:lineRule="auto"/>
        <w:ind w:firstLine="720"/>
        <w:jc w:val="both"/>
        <w:rPr>
          <w:sz w:val="24"/>
          <w:szCs w:val="24"/>
        </w:rPr>
      </w:pPr>
      <w:r w:rsidDel="00000000" w:rsidR="00000000" w:rsidRPr="00000000">
        <w:rPr>
          <w:sz w:val="24"/>
          <w:szCs w:val="24"/>
          <w:rtl w:val="0"/>
        </w:rPr>
        <w:t xml:space="preserve">A wide range of evidence-based and trauma-focused clinical approaches are used </w:t>
      </w:r>
      <w:r w:rsidDel="00000000" w:rsidR="00000000" w:rsidRPr="00000000">
        <w:rPr>
          <w:sz w:val="24"/>
          <w:szCs w:val="24"/>
          <w:rtl w:val="0"/>
        </w:rPr>
        <w:t xml:space="preserve">in the treatment of</w:t>
      </w:r>
      <w:r w:rsidDel="00000000" w:rsidR="00000000" w:rsidRPr="00000000">
        <w:rPr>
          <w:sz w:val="24"/>
          <w:szCs w:val="24"/>
          <w:rtl w:val="0"/>
        </w:rPr>
        <w:t xml:space="preserve"> addiction and eating disorders. These are responsive to  risk, relational complexity, and the client’s capacity for change while necessitating careful assessment and ongoing review. For efficient results, usually there’s multidisciplinary collaboration required alongside psychotherapeutic intervention. </w:t>
      </w:r>
    </w:p>
    <w:p w:rsidR="00000000" w:rsidDel="00000000" w:rsidP="00000000" w:rsidRDefault="00000000" w:rsidRPr="00000000" w14:paraId="00000025">
      <w:pPr>
        <w:pStyle w:val="Heading4"/>
        <w:spacing w:after="40" w:before="240" w:line="360" w:lineRule="auto"/>
        <w:ind w:firstLine="720"/>
        <w:jc w:val="both"/>
        <w:rPr>
          <w:b w:val="1"/>
          <w:bCs w:val="1"/>
          <w:color w:val="000000"/>
        </w:rPr>
      </w:pPr>
      <w:bookmarkStart w:colFirst="0" w:colLast="0" w:name="_q1s364vdks8z" w:id="15"/>
      <w:bookmarkEnd w:id="15"/>
      <w:r w:rsidDel="00000000" w:rsidR="00000000" w:rsidRPr="00000000">
        <w:rPr>
          <w:b w:val="1"/>
          <w:bCs w:val="1"/>
          <w:color w:val="000000"/>
          <w:rtl w:val="0"/>
        </w:rPr>
        <w:t xml:space="preserve">Cognitive Behavioural Therapy</w:t>
      </w:r>
    </w:p>
    <w:p w:rsidR="00000000" w:rsidDel="00000000" w:rsidP="00000000" w:rsidRDefault="00000000" w:rsidRPr="00000000" w14:paraId="00000026">
      <w:pPr>
        <w:spacing w:line="360" w:lineRule="auto"/>
        <w:ind w:firstLine="720"/>
        <w:jc w:val="both"/>
        <w:rPr>
          <w:sz w:val="24"/>
          <w:szCs w:val="24"/>
        </w:rPr>
      </w:pPr>
      <w:r w:rsidDel="00000000" w:rsidR="00000000" w:rsidRPr="00000000">
        <w:rPr>
          <w:sz w:val="24"/>
          <w:szCs w:val="24"/>
          <w:rtl w:val="0"/>
        </w:rPr>
        <w:t xml:space="preserve">Cognitive Behavioural Therapy (CBT) targets maladaptive thought–behaviour </w:t>
      </w:r>
      <w:r w:rsidDel="00000000" w:rsidR="00000000" w:rsidRPr="00000000">
        <w:rPr>
          <w:sz w:val="24"/>
          <w:szCs w:val="24"/>
          <w:rtl w:val="0"/>
        </w:rPr>
        <w:t xml:space="preserve">cycles and</w:t>
      </w:r>
      <w:r w:rsidDel="00000000" w:rsidR="00000000" w:rsidRPr="00000000">
        <w:rPr>
          <w:sz w:val="24"/>
          <w:szCs w:val="24"/>
          <w:rtl w:val="0"/>
        </w:rPr>
        <w:t xml:space="preserve"> has strong first hand support for both addiction and eating disorders, particularly for bulimia nervosa and binge-eating disorder as mentioned by Wilfley and Cohen (1997). CBT focuses on identifying and modifying maladaptive patterns of thinking and behaviour that maintain symptoms, such as rigid beliefs, avoidance of affect, and reliance on substances or disordered eating for emotional regulation. CBT supports relapse prevention through identifying triggers, managing craving, and developing alternative coping strategies. While this approach is evidence based and can tame initial symptoms, it may not address deeper trauma and the actual cause.</w:t>
      </w:r>
    </w:p>
    <w:p w:rsidR="00000000" w:rsidDel="00000000" w:rsidP="00000000" w:rsidRDefault="00000000" w:rsidRPr="00000000" w14:paraId="00000027">
      <w:pPr>
        <w:pStyle w:val="Heading4"/>
        <w:spacing w:after="40" w:before="240" w:line="360" w:lineRule="auto"/>
        <w:ind w:firstLine="720"/>
        <w:jc w:val="both"/>
        <w:rPr>
          <w:b w:val="1"/>
          <w:bCs w:val="1"/>
          <w:color w:val="000000"/>
        </w:rPr>
      </w:pPr>
      <w:bookmarkStart w:colFirst="0" w:colLast="0" w:name="_v8s4h3vdxcvp" w:id="16"/>
      <w:bookmarkEnd w:id="16"/>
      <w:r w:rsidDel="00000000" w:rsidR="00000000" w:rsidRPr="00000000">
        <w:rPr>
          <w:b w:val="1"/>
          <w:bCs w:val="1"/>
          <w:color w:val="000000"/>
          <w:rtl w:val="0"/>
        </w:rPr>
        <w:t xml:space="preserve">Dialectical Behaviour Therapy </w:t>
      </w:r>
    </w:p>
    <w:p w:rsidR="00000000" w:rsidDel="00000000" w:rsidP="00000000" w:rsidRDefault="00000000" w:rsidRPr="00000000" w14:paraId="00000028">
      <w:pPr>
        <w:spacing w:line="360" w:lineRule="auto"/>
        <w:ind w:firstLine="720"/>
        <w:jc w:val="both"/>
        <w:rPr>
          <w:sz w:val="24"/>
          <w:szCs w:val="24"/>
        </w:rPr>
      </w:pPr>
      <w:r w:rsidDel="00000000" w:rsidR="00000000" w:rsidRPr="00000000">
        <w:rPr>
          <w:sz w:val="24"/>
          <w:szCs w:val="24"/>
          <w:rtl w:val="0"/>
        </w:rPr>
        <w:t xml:space="preserve">Dialectical Behaviour Therapy (DBT) focuses on emotion regulation, distress tolerance, and interpersonal effectiveness, making it especially relevant for clients with high emotional dysregulation and self-destructive behaviours. Its emphasis is widely on containment, validation and behavioural accountability can be very effective for some clients, but at the same time it requires an intensive amount of resources.</w:t>
      </w:r>
    </w:p>
    <w:p w:rsidR="00000000" w:rsidDel="00000000" w:rsidP="00000000" w:rsidRDefault="00000000" w:rsidRPr="00000000" w14:paraId="00000029">
      <w:pPr>
        <w:pStyle w:val="Heading4"/>
        <w:spacing w:after="40" w:before="240" w:line="360" w:lineRule="auto"/>
        <w:ind w:firstLine="720"/>
        <w:jc w:val="both"/>
        <w:rPr>
          <w:b w:val="1"/>
          <w:bCs w:val="1"/>
          <w:color w:val="000000"/>
        </w:rPr>
      </w:pPr>
      <w:bookmarkStart w:colFirst="0" w:colLast="0" w:name="_7fi9aemiihm3" w:id="17"/>
      <w:bookmarkEnd w:id="17"/>
      <w:r w:rsidDel="00000000" w:rsidR="00000000" w:rsidRPr="00000000">
        <w:rPr>
          <w:b w:val="1"/>
          <w:bCs w:val="1"/>
          <w:color w:val="000000"/>
          <w:rtl w:val="0"/>
        </w:rPr>
        <w:t xml:space="preserve">Motivational Interviewing</w:t>
      </w:r>
    </w:p>
    <w:p w:rsidR="00000000" w:rsidDel="00000000" w:rsidP="00000000" w:rsidRDefault="00000000" w:rsidRPr="00000000" w14:paraId="0000002A">
      <w:pPr>
        <w:spacing w:line="360" w:lineRule="auto"/>
        <w:ind w:firstLine="720"/>
        <w:jc w:val="both"/>
        <w:rPr>
          <w:sz w:val="24"/>
          <w:szCs w:val="24"/>
        </w:rPr>
      </w:pPr>
      <w:r w:rsidDel="00000000" w:rsidR="00000000" w:rsidRPr="00000000">
        <w:rPr>
          <w:sz w:val="24"/>
          <w:szCs w:val="24"/>
          <w:rtl w:val="0"/>
        </w:rPr>
        <w:t xml:space="preserve">Motivational Interviewing (MI) is widely used across both fields to enhance readiness for change. MI is defined as a collaborative, person-centred style of communication designed to elicit individuals’ own motivations for change (Miller and Rollnick, 2013). Rather than confronting resistance, MI explores ambivalence and supports autonomy, recognising that readiness for change fluctuates. From a clinical perspective, MI is particularly useful where symptoms serve protective or regulatory functions and where premature pressure to change may increase shame.</w:t>
      </w:r>
    </w:p>
    <w:p w:rsidR="00000000" w:rsidDel="00000000" w:rsidP="00000000" w:rsidRDefault="00000000" w:rsidRPr="00000000" w14:paraId="0000002B">
      <w:pPr>
        <w:pStyle w:val="Heading4"/>
        <w:spacing w:after="40" w:before="240" w:line="360" w:lineRule="auto"/>
        <w:ind w:firstLine="720"/>
        <w:jc w:val="both"/>
        <w:rPr>
          <w:b w:val="1"/>
          <w:bCs w:val="1"/>
          <w:color w:val="000000"/>
        </w:rPr>
      </w:pPr>
      <w:bookmarkStart w:colFirst="0" w:colLast="0" w:name="_oqom7ihcay4p" w:id="18"/>
      <w:bookmarkEnd w:id="18"/>
      <w:r w:rsidDel="00000000" w:rsidR="00000000" w:rsidRPr="00000000">
        <w:rPr>
          <w:b w:val="1"/>
          <w:bCs w:val="1"/>
          <w:color w:val="000000"/>
          <w:rtl w:val="0"/>
        </w:rPr>
        <w:t xml:space="preserve">Family-based therapy</w:t>
      </w:r>
    </w:p>
    <w:p w:rsidR="00000000" w:rsidDel="00000000" w:rsidP="00000000" w:rsidRDefault="00000000" w:rsidRPr="00000000" w14:paraId="0000002C">
      <w:pPr>
        <w:spacing w:line="360" w:lineRule="auto"/>
        <w:ind w:firstLine="720"/>
        <w:jc w:val="both"/>
        <w:rPr>
          <w:sz w:val="24"/>
          <w:szCs w:val="24"/>
        </w:rPr>
      </w:pPr>
      <w:r w:rsidDel="00000000" w:rsidR="00000000" w:rsidRPr="00000000">
        <w:rPr>
          <w:sz w:val="24"/>
          <w:szCs w:val="24"/>
          <w:rtl w:val="0"/>
        </w:rPr>
        <w:t xml:space="preserve">Family-based and systemic approaches, such as Family-Based Treatment is a first-line intervention for adolescents with eating disorders, actively involving caregivers in restoring nutrition and interrupting symptoms and Community Reinforcement and Family Training for addiction is mostly used to help families influence change while reducing enabling or escalation (Smith and Meyers, 2004). </w:t>
      </w:r>
    </w:p>
    <w:p w:rsidR="00000000" w:rsidDel="00000000" w:rsidP="00000000" w:rsidRDefault="00000000" w:rsidRPr="00000000" w14:paraId="0000002D">
      <w:pPr>
        <w:pStyle w:val="Heading4"/>
        <w:spacing w:after="40" w:before="240" w:line="360" w:lineRule="auto"/>
        <w:ind w:firstLine="720"/>
        <w:jc w:val="both"/>
        <w:rPr>
          <w:b w:val="1"/>
          <w:bCs w:val="1"/>
          <w:color w:val="000000"/>
        </w:rPr>
      </w:pPr>
      <w:bookmarkStart w:colFirst="0" w:colLast="0" w:name="_lff2bru024v3" w:id="19"/>
      <w:bookmarkEnd w:id="19"/>
      <w:r w:rsidDel="00000000" w:rsidR="00000000" w:rsidRPr="00000000">
        <w:rPr>
          <w:b w:val="1"/>
          <w:bCs w:val="1"/>
          <w:color w:val="000000"/>
          <w:rtl w:val="0"/>
        </w:rPr>
        <w:t xml:space="preserve">Eye Movement Desensitisation and Reprocessing</w:t>
      </w:r>
    </w:p>
    <w:p w:rsidR="00000000" w:rsidDel="00000000" w:rsidP="00000000" w:rsidRDefault="00000000" w:rsidRPr="00000000" w14:paraId="0000002E">
      <w:pPr>
        <w:spacing w:line="360" w:lineRule="auto"/>
        <w:ind w:firstLine="720"/>
        <w:jc w:val="both"/>
        <w:rPr>
          <w:sz w:val="24"/>
          <w:szCs w:val="24"/>
        </w:rPr>
      </w:pPr>
      <w:r w:rsidDel="00000000" w:rsidR="00000000" w:rsidRPr="00000000">
        <w:rPr>
          <w:sz w:val="24"/>
          <w:szCs w:val="24"/>
          <w:rtl w:val="0"/>
        </w:rPr>
        <w:t xml:space="preserve">Trauma-focused interventions, such as Eye Movement Desensitisation and Reprocessing (EMDR), aims to address unresolved traumatic memory and restore nervous system regulation by using a rhythmic left-right stimulation (like following a finger) while recalling trauma to reduce vividness and emotional impact.</w:t>
      </w:r>
    </w:p>
    <w:p w:rsidR="00000000" w:rsidDel="00000000" w:rsidP="00000000" w:rsidRDefault="00000000" w:rsidRPr="00000000" w14:paraId="0000002F">
      <w:pPr>
        <w:pStyle w:val="Heading4"/>
        <w:spacing w:after="40" w:before="240" w:line="360" w:lineRule="auto"/>
        <w:ind w:firstLine="720"/>
        <w:jc w:val="both"/>
        <w:rPr>
          <w:b w:val="1"/>
          <w:bCs w:val="1"/>
          <w:color w:val="000000"/>
        </w:rPr>
      </w:pPr>
      <w:bookmarkStart w:colFirst="0" w:colLast="0" w:name="_7uwsz3f9zhlo" w:id="20"/>
      <w:bookmarkEnd w:id="20"/>
      <w:r w:rsidDel="00000000" w:rsidR="00000000" w:rsidRPr="00000000">
        <w:rPr>
          <w:b w:val="1"/>
          <w:bCs w:val="1"/>
          <w:color w:val="000000"/>
          <w:rtl w:val="0"/>
        </w:rPr>
        <w:t xml:space="preserve">Somatic Therapy</w:t>
      </w:r>
    </w:p>
    <w:p w:rsidR="00000000" w:rsidDel="00000000" w:rsidP="00000000" w:rsidRDefault="00000000" w:rsidRPr="00000000" w14:paraId="0000003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both"/>
        <w:rPr>
          <w:sz w:val="24"/>
          <w:szCs w:val="24"/>
        </w:rPr>
      </w:pPr>
      <w:r w:rsidDel="00000000" w:rsidR="00000000" w:rsidRPr="00000000">
        <w:rPr>
          <w:sz w:val="24"/>
          <w:szCs w:val="24"/>
          <w:rtl w:val="0"/>
        </w:rPr>
        <w:t xml:space="preserve">Somatic therapy focuses on the body’s physical reactions to trauma, helping release tension and stress stored in the body through movement or touch. </w:t>
      </w:r>
    </w:p>
    <w:p w:rsidR="00000000" w:rsidDel="00000000" w:rsidP="00000000" w:rsidRDefault="00000000" w:rsidRPr="00000000" w14:paraId="00000032">
      <w:pPr>
        <w:pStyle w:val="Heading4"/>
        <w:spacing w:after="40" w:before="240" w:line="360" w:lineRule="auto"/>
        <w:ind w:firstLine="720"/>
        <w:jc w:val="both"/>
        <w:rPr>
          <w:b w:val="1"/>
          <w:bCs w:val="1"/>
          <w:color w:val="000000"/>
        </w:rPr>
      </w:pPr>
      <w:bookmarkStart w:colFirst="0" w:colLast="0" w:name="_xvflt7ouo0ub" w:id="21"/>
      <w:bookmarkEnd w:id="21"/>
      <w:r w:rsidDel="00000000" w:rsidR="00000000" w:rsidRPr="00000000">
        <w:rPr>
          <w:b w:val="1"/>
          <w:bCs w:val="1"/>
          <w:color w:val="000000"/>
          <w:rtl w:val="0"/>
        </w:rPr>
        <w:t xml:space="preserve">Internal Family Systems</w:t>
      </w:r>
    </w:p>
    <w:p w:rsidR="00000000" w:rsidDel="00000000" w:rsidP="00000000" w:rsidRDefault="00000000" w:rsidRPr="00000000" w14:paraId="00000033">
      <w:pPr>
        <w:spacing w:line="360" w:lineRule="auto"/>
        <w:ind w:firstLine="720"/>
        <w:jc w:val="both"/>
        <w:rPr>
          <w:sz w:val="24"/>
          <w:szCs w:val="24"/>
        </w:rPr>
      </w:pPr>
      <w:r w:rsidDel="00000000" w:rsidR="00000000" w:rsidRPr="00000000">
        <w:rPr>
          <w:sz w:val="24"/>
          <w:szCs w:val="24"/>
          <w:rtl w:val="0"/>
        </w:rPr>
        <w:t xml:space="preserve">Internal Family Systems (IFS) conceptualises addictive and eating disorder behaviours as protective parts attempting to manage pain or threat, offering a non-pathologising framework that can reduce shame and foster self-compassion (Schwartz and Sweezy, 2020). Clinically, trauma-focused work is typically introduced once sufficient stability and safety have been established.</w:t>
      </w:r>
    </w:p>
    <w:p w:rsidR="00000000" w:rsidDel="00000000" w:rsidP="00000000" w:rsidRDefault="00000000" w:rsidRPr="00000000" w14:paraId="00000034">
      <w:pPr>
        <w:pStyle w:val="Heading4"/>
        <w:spacing w:after="40" w:before="240" w:line="360" w:lineRule="auto"/>
        <w:ind w:firstLine="720"/>
        <w:jc w:val="both"/>
        <w:rPr>
          <w:b w:val="1"/>
          <w:bCs w:val="1"/>
          <w:color w:val="000000"/>
        </w:rPr>
      </w:pPr>
      <w:bookmarkStart w:colFirst="0" w:colLast="0" w:name="_ws46e9kja1j8" w:id="22"/>
      <w:bookmarkEnd w:id="22"/>
      <w:r w:rsidDel="00000000" w:rsidR="00000000" w:rsidRPr="00000000">
        <w:rPr>
          <w:b w:val="1"/>
          <w:bCs w:val="1"/>
          <w:color w:val="000000"/>
          <w:rtl w:val="0"/>
        </w:rPr>
        <w:t xml:space="preserve">Experiential therapies</w:t>
      </w:r>
    </w:p>
    <w:p w:rsidR="00000000" w:rsidDel="00000000" w:rsidP="00000000" w:rsidRDefault="00000000" w:rsidRPr="00000000" w14:paraId="00000035">
      <w:pPr>
        <w:spacing w:line="360" w:lineRule="auto"/>
        <w:ind w:firstLine="720"/>
        <w:jc w:val="both"/>
        <w:rPr>
          <w:sz w:val="24"/>
          <w:szCs w:val="24"/>
        </w:rPr>
      </w:pPr>
      <w:r w:rsidDel="00000000" w:rsidR="00000000" w:rsidRPr="00000000">
        <w:rPr>
          <w:sz w:val="24"/>
          <w:szCs w:val="24"/>
          <w:rtl w:val="0"/>
        </w:rPr>
        <w:t xml:space="preserve">Experiential therapies such as art, movement, and music therapy may further support embodied processing. </w:t>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While there is a very significant overlap in treatment modalities, eating disorder treatment uniquely requires medical and nutritional stabilisation as a foundation for psychological work. </w:t>
      </w:r>
    </w:p>
    <w:p w:rsidR="00000000" w:rsidDel="00000000" w:rsidP="00000000" w:rsidRDefault="00000000" w:rsidRPr="00000000" w14:paraId="00000037">
      <w:pPr>
        <w:spacing w:after="240" w:before="240" w:line="360" w:lineRule="auto"/>
        <w:ind w:firstLine="720"/>
        <w:jc w:val="both"/>
        <w:rPr>
          <w:sz w:val="24"/>
          <w:szCs w:val="24"/>
        </w:rPr>
      </w:pPr>
      <w:r w:rsidDel="00000000" w:rsidR="00000000" w:rsidRPr="00000000">
        <w:rPr>
          <w:sz w:val="24"/>
          <w:szCs w:val="24"/>
          <w:rtl w:val="0"/>
        </w:rPr>
        <w:t xml:space="preserve">In contrast, addiction treatment may involve harm-reduction strategies, abstinence-based models, or medication-assisted treatment depending on context. Across both fields, ethical practice requires clear boundaries, regular supervision, and collaborative working with medical and specialist services. For trainee psychotherapists, recognising limits of competence and knowing when to refer are essential professional responsibilities.</w:t>
      </w:r>
    </w:p>
    <w:p w:rsidR="00000000" w:rsidDel="00000000" w:rsidP="00000000" w:rsidRDefault="00000000" w:rsidRPr="00000000" w14:paraId="00000038">
      <w:pPr>
        <w:pStyle w:val="Heading3"/>
        <w:spacing w:before="280" w:line="360" w:lineRule="auto"/>
        <w:ind w:firstLine="720"/>
        <w:jc w:val="both"/>
        <w:rPr>
          <w:b w:val="1"/>
          <w:bCs w:val="1"/>
          <w:color w:val="000000"/>
        </w:rPr>
      </w:pPr>
      <w:bookmarkStart w:colFirst="0" w:colLast="0" w:name="_bnz9n9net9q6" w:id="23"/>
      <w:bookmarkEnd w:id="23"/>
      <w:r w:rsidDel="00000000" w:rsidR="00000000" w:rsidRPr="00000000">
        <w:rPr>
          <w:b w:val="1"/>
          <w:bCs w:val="1"/>
          <w:color w:val="000000"/>
          <w:rtl w:val="0"/>
        </w:rPr>
        <w:t xml:space="preserve">The Therapist’s Skills and Attributes</w:t>
      </w:r>
    </w:p>
    <w:p w:rsidR="00000000" w:rsidDel="00000000" w:rsidP="00000000" w:rsidRDefault="00000000" w:rsidRPr="00000000" w14:paraId="00000039">
      <w:pPr>
        <w:spacing w:line="360" w:lineRule="auto"/>
        <w:ind w:firstLine="720"/>
        <w:jc w:val="both"/>
        <w:rPr>
          <w:sz w:val="24"/>
          <w:szCs w:val="24"/>
        </w:rPr>
      </w:pPr>
      <w:r w:rsidDel="00000000" w:rsidR="00000000" w:rsidRPr="00000000">
        <w:rPr>
          <w:sz w:val="24"/>
          <w:szCs w:val="24"/>
          <w:rtl w:val="0"/>
        </w:rPr>
        <w:t xml:space="preserve">While different therapeutic modalities will foster the development of particular skills, a non-negotiable for a psychotherapist working in a clinical setup with addiction and eating disorders, is the capacity to empathise deeply with genuineness and acceptance of individual differences, meeting the client where they are. </w:t>
      </w:r>
    </w:p>
    <w:p w:rsidR="00000000" w:rsidDel="00000000" w:rsidP="00000000" w:rsidRDefault="00000000" w:rsidRPr="00000000" w14:paraId="0000003A">
      <w:pPr>
        <w:spacing w:line="360" w:lineRule="auto"/>
        <w:ind w:firstLine="720"/>
        <w:jc w:val="both"/>
        <w:rPr>
          <w:sz w:val="24"/>
          <w:szCs w:val="24"/>
        </w:rPr>
      </w:pPr>
      <w:r w:rsidDel="00000000" w:rsidR="00000000" w:rsidRPr="00000000">
        <w:rPr>
          <w:sz w:val="24"/>
          <w:szCs w:val="24"/>
          <w:rtl w:val="0"/>
        </w:rPr>
        <w:t xml:space="preserve">Given the high levels of shame, ambivalence and vulnerability often present, the ability to foster a safe and non-judgemental environment is essential.</w:t>
      </w:r>
    </w:p>
    <w:p w:rsidR="00000000" w:rsidDel="00000000" w:rsidP="00000000" w:rsidRDefault="00000000" w:rsidRPr="00000000" w14:paraId="0000003B">
      <w:pPr>
        <w:spacing w:line="360" w:lineRule="auto"/>
        <w:ind w:firstLine="720"/>
        <w:jc w:val="both"/>
        <w:rPr>
          <w:sz w:val="24"/>
          <w:szCs w:val="24"/>
        </w:rPr>
      </w:pPr>
      <w:r w:rsidDel="00000000" w:rsidR="00000000" w:rsidRPr="00000000">
        <w:rPr>
          <w:sz w:val="24"/>
          <w:szCs w:val="24"/>
          <w:rtl w:val="0"/>
        </w:rPr>
        <w:t xml:space="preserve">Effective clinical practice may also require the capacity to identify relational and behavioural patterns and hold hope on behalf of the client, though progress may vary depending on development or trauma related factors. Establishing and maintaining clear boundaries is particularly important for a psychotherapist, and so is extracting and building on client's strengths, by offering thoughtful reframing, done with creativeness, spontaneity and firmness.</w:t>
      </w:r>
    </w:p>
    <w:p w:rsidR="00000000" w:rsidDel="00000000" w:rsidP="00000000" w:rsidRDefault="00000000" w:rsidRPr="00000000" w14:paraId="0000003C">
      <w:pPr>
        <w:spacing w:line="360" w:lineRule="auto"/>
        <w:ind w:firstLine="720"/>
        <w:jc w:val="both"/>
        <w:rPr>
          <w:sz w:val="24"/>
          <w:szCs w:val="24"/>
        </w:rPr>
      </w:pPr>
      <w:r w:rsidDel="00000000" w:rsidR="00000000" w:rsidRPr="00000000">
        <w:rPr>
          <w:sz w:val="24"/>
          <w:szCs w:val="24"/>
          <w:rtl w:val="0"/>
        </w:rPr>
        <w:t xml:space="preserve">Intellectual acumen, verbal skill, sensitivity, tact to formulate interpretations that make the patient feel deeply understood. A warm, human presence, resonating with the patient's experience rather than being neutral, supports developing trust and relational depth.</w:t>
      </w:r>
    </w:p>
    <w:p w:rsidR="00000000" w:rsidDel="00000000" w:rsidP="00000000" w:rsidRDefault="00000000" w:rsidRPr="00000000" w14:paraId="0000003D">
      <w:pPr>
        <w:spacing w:line="360" w:lineRule="auto"/>
        <w:jc w:val="both"/>
        <w:rPr>
          <w:sz w:val="24"/>
          <w:szCs w:val="24"/>
        </w:rPr>
      </w:pPr>
      <w:r w:rsidDel="00000000" w:rsidR="00000000" w:rsidRPr="00000000">
        <w:rPr>
          <w:rtl w:val="0"/>
        </w:rPr>
      </w:r>
    </w:p>
    <w:p w:rsidR="00000000" w:rsidDel="00000000" w:rsidP="00000000" w:rsidRDefault="00000000" w:rsidRPr="00000000" w14:paraId="0000003E">
      <w:pPr>
        <w:pStyle w:val="Heading2"/>
        <w:spacing w:after="80" w:line="360" w:lineRule="auto"/>
        <w:ind w:firstLine="720"/>
        <w:jc w:val="both"/>
        <w:rPr>
          <w:b w:val="1"/>
          <w:bCs w:val="1"/>
          <w:sz w:val="36"/>
          <w:szCs w:val="36"/>
        </w:rPr>
      </w:pPr>
      <w:bookmarkStart w:colFirst="0" w:colLast="0" w:name="_a6zvm9zvef4" w:id="24"/>
      <w:bookmarkEnd w:id="24"/>
      <w:r w:rsidDel="00000000" w:rsidR="00000000" w:rsidRPr="00000000">
        <w:rPr>
          <w:b w:val="1"/>
          <w:bCs w:val="1"/>
          <w:sz w:val="36"/>
          <w:szCs w:val="36"/>
          <w:rtl w:val="0"/>
        </w:rPr>
        <w:t xml:space="preserve">Conclusion</w:t>
      </w:r>
    </w:p>
    <w:p w:rsidR="00000000" w:rsidDel="00000000" w:rsidP="00000000" w:rsidRDefault="00000000" w:rsidRPr="00000000" w14:paraId="0000003F">
      <w:pPr>
        <w:spacing w:line="360" w:lineRule="auto"/>
        <w:ind w:firstLine="720"/>
        <w:jc w:val="both"/>
        <w:rPr>
          <w:sz w:val="24"/>
          <w:szCs w:val="24"/>
        </w:rPr>
      </w:pPr>
      <w:r w:rsidDel="00000000" w:rsidR="00000000" w:rsidRPr="00000000">
        <w:rPr>
          <w:sz w:val="24"/>
          <w:szCs w:val="24"/>
          <w:rtl w:val="0"/>
        </w:rPr>
        <w:t xml:space="preserve">Addiction and eating disorders present complex clinical challenges that demand integrative, trauma-informed, and ethically grounded responses. Contemporary clinical understanding increasingly recognises these conditions not merely as disordered behaviours but as meaningful attempts to regulate affect, maintain psychological safety, or manage relational distress. </w:t>
      </w:r>
    </w:p>
    <w:p w:rsidR="00000000" w:rsidDel="00000000" w:rsidP="00000000" w:rsidRDefault="00000000" w:rsidRPr="00000000" w14:paraId="00000040">
      <w:pPr>
        <w:spacing w:line="360" w:lineRule="auto"/>
        <w:ind w:firstLine="720"/>
        <w:jc w:val="both"/>
        <w:rPr>
          <w:sz w:val="24"/>
          <w:szCs w:val="24"/>
        </w:rPr>
      </w:pPr>
      <w:r w:rsidDel="00000000" w:rsidR="00000000" w:rsidRPr="00000000">
        <w:rPr>
          <w:sz w:val="24"/>
          <w:szCs w:val="24"/>
          <w:rtl w:val="0"/>
        </w:rPr>
        <w:t xml:space="preserve">Although there is considerable overlap in treatment approaches, important clinical differences remain. Eating disorder work requires particular attention to medical risk and nutritional stabilisation, while addiction treatment may prioritise harm reduction, abstinence, or pharmacological support. Across both, structured interventions such as CBT and DBT provide ways to regulate their emotions, build self-management skills, and reduce anxiety and stress while establishing healthy coping mechanisms. While relational and trauma-focused approaches address deeper patterns of attachment and meaning.</w:t>
      </w:r>
    </w:p>
    <w:p w:rsidR="00000000" w:rsidDel="00000000" w:rsidP="00000000" w:rsidRDefault="00000000" w:rsidRPr="00000000" w14:paraId="00000041">
      <w:pPr>
        <w:spacing w:line="360" w:lineRule="auto"/>
        <w:ind w:firstLine="720"/>
        <w:jc w:val="both"/>
        <w:rPr>
          <w:sz w:val="24"/>
          <w:szCs w:val="24"/>
        </w:rPr>
      </w:pPr>
      <w:r w:rsidDel="00000000" w:rsidR="00000000" w:rsidRPr="00000000">
        <w:rPr>
          <w:sz w:val="24"/>
          <w:szCs w:val="24"/>
          <w:rtl w:val="0"/>
        </w:rPr>
        <w:t xml:space="preserve">Effective practice often involves holding compassion for the protective function of symptoms while gently supporting clients to develop safer and more sustainable ways of relating to themselves and others. Ultimately, recovery is facilitated not only through symptom reduction, but through the creation of safety, agency, and connection within a consistent and attuned therapeutic relationship.</w:t>
      </w:r>
    </w:p>
    <w:p w:rsidR="00000000" w:rsidDel="00000000" w:rsidP="00000000" w:rsidRDefault="00000000" w:rsidRPr="00000000" w14:paraId="0000004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p>
    <w:p w:rsidR="00000000" w:rsidDel="00000000" w:rsidP="00000000" w:rsidRDefault="00000000" w:rsidRPr="00000000" w14:paraId="00000044">
      <w:pPr>
        <w:spacing w:line="360" w:lineRule="auto"/>
        <w:jc w:val="both"/>
        <w:rPr>
          <w:sz w:val="24"/>
          <w:szCs w:val="24"/>
        </w:rPr>
      </w:pPr>
      <w:r w:rsidDel="00000000" w:rsidR="00000000" w:rsidRPr="00000000">
        <w:rPr>
          <w:sz w:val="24"/>
          <w:szCs w:val="24"/>
          <w:rtl w:val="0"/>
        </w:rPr>
        <w:t xml:space="preserve">Smith, J.E. and Meyers, R.J. (2004): </w:t>
      </w:r>
      <w:r w:rsidDel="00000000" w:rsidR="00000000" w:rsidRPr="00000000">
        <w:rPr>
          <w:i w:val="1"/>
          <w:iCs w:val="1"/>
          <w:sz w:val="24"/>
          <w:szCs w:val="24"/>
          <w:rtl w:val="0"/>
        </w:rPr>
        <w:t xml:space="preserve">Motivating Substance Abusers to Enter Treatment: Working with Family Members</w:t>
      </w:r>
      <w:r w:rsidDel="00000000" w:rsidR="00000000" w:rsidRPr="00000000">
        <w:rPr>
          <w:sz w:val="24"/>
          <w:szCs w:val="24"/>
          <w:rtl w:val="0"/>
        </w:rPr>
        <w:t xml:space="preserve">. </w:t>
      </w:r>
      <w:r w:rsidDel="00000000" w:rsidR="00000000" w:rsidRPr="00000000">
        <w:rPr>
          <w:color w:val="262626"/>
          <w:sz w:val="24"/>
          <w:szCs w:val="24"/>
          <w:highlight w:val="white"/>
          <w:rtl w:val="0"/>
        </w:rPr>
        <w:t xml:space="preserve">New York: Guilford Press</w:t>
      </w:r>
      <w:r w:rsidDel="00000000" w:rsidR="00000000" w:rsidRPr="00000000">
        <w:rPr>
          <w:sz w:val="24"/>
          <w:szCs w:val="24"/>
          <w:rtl w:val="0"/>
        </w:rPr>
        <w:t xml:space="preserve">.</w:t>
      </w:r>
    </w:p>
    <w:p w:rsidR="00000000" w:rsidDel="00000000" w:rsidP="00000000" w:rsidRDefault="00000000" w:rsidRPr="00000000" w14:paraId="00000045">
      <w:pPr>
        <w:spacing w:after="240" w:before="240" w:line="360" w:lineRule="auto"/>
        <w:ind w:right="600"/>
        <w:jc w:val="both"/>
        <w:rPr>
          <w:sz w:val="24"/>
          <w:szCs w:val="24"/>
        </w:rPr>
      </w:pPr>
      <w:r w:rsidDel="00000000" w:rsidR="00000000" w:rsidRPr="00000000">
        <w:rPr>
          <w:sz w:val="24"/>
          <w:szCs w:val="24"/>
          <w:rtl w:val="0"/>
        </w:rPr>
        <w:t xml:space="preserve">American Psychiatric Association (2022) DSM-5-TR: </w:t>
      </w:r>
      <w:r w:rsidDel="00000000" w:rsidR="00000000" w:rsidRPr="00000000">
        <w:rPr>
          <w:i w:val="1"/>
          <w:iCs w:val="1"/>
          <w:sz w:val="24"/>
          <w:szCs w:val="24"/>
          <w:rtl w:val="0"/>
        </w:rPr>
        <w:t xml:space="preserve">Diagnostic and statistical manual of mental disorders</w:t>
      </w:r>
      <w:r w:rsidDel="00000000" w:rsidR="00000000" w:rsidRPr="00000000">
        <w:rPr>
          <w:sz w:val="24"/>
          <w:szCs w:val="24"/>
          <w:rtl w:val="0"/>
        </w:rPr>
        <w:t xml:space="preserve"> (5th ed., text rev.). Washington, DC: APA Publishing.</w:t>
      </w:r>
    </w:p>
    <w:p w:rsidR="00000000" w:rsidDel="00000000" w:rsidP="00000000" w:rsidRDefault="00000000" w:rsidRPr="00000000" w14:paraId="00000046">
      <w:pPr>
        <w:spacing w:after="240" w:before="240" w:line="360" w:lineRule="auto"/>
        <w:ind w:right="600"/>
        <w:jc w:val="both"/>
        <w:rPr>
          <w:sz w:val="24"/>
          <w:szCs w:val="24"/>
        </w:rPr>
      </w:pPr>
      <w:r w:rsidDel="00000000" w:rsidR="00000000" w:rsidRPr="00000000">
        <w:rPr>
          <w:sz w:val="24"/>
          <w:szCs w:val="24"/>
          <w:rtl w:val="0"/>
        </w:rPr>
        <w:t xml:space="preserve">Schwartz, R.C. and Sweezy, M. (2020) </w:t>
      </w:r>
      <w:r w:rsidDel="00000000" w:rsidR="00000000" w:rsidRPr="00000000">
        <w:rPr>
          <w:i w:val="1"/>
          <w:iCs w:val="1"/>
          <w:sz w:val="24"/>
          <w:szCs w:val="24"/>
          <w:rtl w:val="0"/>
        </w:rPr>
        <w:t xml:space="preserve">Internal family systems therapy</w:t>
      </w:r>
      <w:r w:rsidDel="00000000" w:rsidR="00000000" w:rsidRPr="00000000">
        <w:rPr>
          <w:sz w:val="24"/>
          <w:szCs w:val="24"/>
          <w:rtl w:val="0"/>
        </w:rPr>
        <w:t xml:space="preserve">. 2nd edn. New York: Guilford Press.</w:t>
      </w:r>
    </w:p>
    <w:p w:rsidR="00000000" w:rsidDel="00000000" w:rsidP="00000000" w:rsidRDefault="00000000" w:rsidRPr="00000000" w14:paraId="00000047">
      <w:pPr>
        <w:spacing w:after="240" w:before="240" w:line="360" w:lineRule="auto"/>
        <w:ind w:right="600"/>
        <w:jc w:val="both"/>
        <w:rPr>
          <w:sz w:val="24"/>
          <w:szCs w:val="24"/>
        </w:rPr>
      </w:pPr>
      <w:r w:rsidDel="00000000" w:rsidR="00000000" w:rsidRPr="00000000">
        <w:rPr>
          <w:sz w:val="24"/>
          <w:szCs w:val="24"/>
          <w:rtl w:val="0"/>
        </w:rPr>
        <w:t xml:space="preserve">Seubert, A. (2018) </w:t>
      </w:r>
      <w:r w:rsidDel="00000000" w:rsidR="00000000" w:rsidRPr="00000000">
        <w:rPr>
          <w:i w:val="1"/>
          <w:iCs w:val="1"/>
          <w:sz w:val="24"/>
          <w:szCs w:val="24"/>
          <w:rtl w:val="0"/>
        </w:rPr>
        <w:t xml:space="preserve">Trauma-informed approaches to eating disorders</w:t>
      </w:r>
      <w:r w:rsidDel="00000000" w:rsidR="00000000" w:rsidRPr="00000000">
        <w:rPr>
          <w:sz w:val="24"/>
          <w:szCs w:val="24"/>
          <w:rtl w:val="0"/>
        </w:rPr>
        <w:t xml:space="preserve">. Cham: Springer.</w:t>
      </w:r>
    </w:p>
    <w:p w:rsidR="00000000" w:rsidDel="00000000" w:rsidP="00000000" w:rsidRDefault="00000000" w:rsidRPr="00000000" w14:paraId="00000048">
      <w:pPr>
        <w:spacing w:after="240" w:before="240" w:line="360" w:lineRule="auto"/>
        <w:ind w:right="600"/>
        <w:jc w:val="both"/>
        <w:rPr>
          <w:color w:val="262626"/>
          <w:sz w:val="24"/>
          <w:szCs w:val="24"/>
          <w:highlight w:val="white"/>
        </w:rPr>
      </w:pPr>
      <w:r w:rsidDel="00000000" w:rsidR="00000000" w:rsidRPr="00000000">
        <w:rPr>
          <w:color w:val="262626"/>
          <w:sz w:val="24"/>
          <w:szCs w:val="24"/>
          <w:highlight w:val="white"/>
          <w:rtl w:val="0"/>
        </w:rPr>
        <w:t xml:space="preserve">Maté, G</w:t>
      </w:r>
      <w:r w:rsidDel="00000000" w:rsidR="00000000" w:rsidRPr="00000000">
        <w:rPr>
          <w:sz w:val="24"/>
          <w:szCs w:val="24"/>
          <w:rtl w:val="0"/>
        </w:rPr>
        <w:t xml:space="preserve">.</w:t>
      </w:r>
      <w:r w:rsidDel="00000000" w:rsidR="00000000" w:rsidRPr="00000000">
        <w:rPr>
          <w:color w:val="262626"/>
          <w:sz w:val="24"/>
          <w:szCs w:val="24"/>
          <w:highlight w:val="white"/>
          <w:rtl w:val="0"/>
        </w:rPr>
        <w:t xml:space="preserve"> (2018) </w:t>
      </w:r>
      <w:r w:rsidDel="00000000" w:rsidR="00000000" w:rsidRPr="00000000">
        <w:rPr>
          <w:i w:val="1"/>
          <w:iCs w:val="1"/>
          <w:color w:val="262626"/>
          <w:sz w:val="24"/>
          <w:szCs w:val="24"/>
          <w:highlight w:val="white"/>
          <w:rtl w:val="0"/>
        </w:rPr>
        <w:t xml:space="preserve">In the realm of hungry ghosts: Close encounters with addiction</w:t>
      </w:r>
      <w:r w:rsidDel="00000000" w:rsidR="00000000" w:rsidRPr="00000000">
        <w:rPr>
          <w:color w:val="262626"/>
          <w:sz w:val="24"/>
          <w:szCs w:val="24"/>
          <w:highlight w:val="white"/>
          <w:rtl w:val="0"/>
        </w:rPr>
        <w:t xml:space="preserve">. London: Vermilion.</w:t>
      </w:r>
    </w:p>
    <w:p w:rsidR="00000000" w:rsidDel="00000000" w:rsidP="00000000" w:rsidRDefault="00000000" w:rsidRPr="00000000" w14:paraId="00000049">
      <w:pPr>
        <w:spacing w:after="240" w:before="240" w:line="240" w:lineRule="auto"/>
        <w:rPr>
          <w:color w:val="262626"/>
          <w:sz w:val="24"/>
          <w:szCs w:val="24"/>
          <w:highlight w:val="white"/>
        </w:rPr>
      </w:pPr>
      <w:r w:rsidDel="00000000" w:rsidR="00000000" w:rsidRPr="00000000">
        <w:rPr>
          <w:color w:val="262626"/>
          <w:sz w:val="24"/>
          <w:szCs w:val="24"/>
          <w:highlight w:val="white"/>
          <w:rtl w:val="0"/>
        </w:rPr>
        <w:t xml:space="preserve">Wilfley, D.E. and Cohen, L.R. (1997) </w:t>
      </w:r>
      <w:r w:rsidDel="00000000" w:rsidR="00000000" w:rsidRPr="00000000">
        <w:rPr>
          <w:i w:val="1"/>
          <w:iCs w:val="1"/>
          <w:color w:val="262626"/>
          <w:sz w:val="24"/>
          <w:szCs w:val="24"/>
          <w:highlight w:val="white"/>
          <w:rtl w:val="0"/>
        </w:rPr>
        <w:t xml:space="preserve">Psychological treatment of bulimia nervosa</w:t>
      </w:r>
      <w:r w:rsidDel="00000000" w:rsidR="00000000" w:rsidRPr="00000000">
        <w:rPr>
          <w:color w:val="262626"/>
          <w:sz w:val="24"/>
          <w:szCs w:val="24"/>
          <w:highlight w:val="white"/>
          <w:rtl w:val="0"/>
        </w:rPr>
        <w:t xml:space="preserve">. Journal of Consulting and Clinical Psychology, 65(2), pp. 349–361.</w:t>
      </w:r>
    </w:p>
    <w:p w:rsidR="00000000" w:rsidDel="00000000" w:rsidP="00000000" w:rsidRDefault="00000000" w:rsidRPr="00000000" w14:paraId="0000004A">
      <w:pPr>
        <w:spacing w:after="240" w:before="240" w:line="240" w:lineRule="auto"/>
        <w:rPr>
          <w:color w:val="262626"/>
          <w:sz w:val="24"/>
          <w:szCs w:val="24"/>
          <w:highlight w:val="white"/>
        </w:rPr>
      </w:pPr>
      <w:r w:rsidDel="00000000" w:rsidR="00000000" w:rsidRPr="00000000">
        <w:rPr>
          <w:color w:val="262626"/>
          <w:sz w:val="24"/>
          <w:szCs w:val="24"/>
          <w:highlight w:val="white"/>
          <w:rtl w:val="0"/>
        </w:rPr>
        <w:t xml:space="preserve">World Health Organization (2019) </w:t>
      </w:r>
      <w:r w:rsidDel="00000000" w:rsidR="00000000" w:rsidRPr="00000000">
        <w:rPr>
          <w:i w:val="1"/>
          <w:iCs w:val="1"/>
          <w:color w:val="262626"/>
          <w:sz w:val="24"/>
          <w:szCs w:val="24"/>
          <w:highlight w:val="white"/>
          <w:rtl w:val="0"/>
        </w:rPr>
        <w:t xml:space="preserve">International classification of diseases (11th revision)</w:t>
      </w:r>
      <w:r w:rsidDel="00000000" w:rsidR="00000000" w:rsidRPr="00000000">
        <w:rPr>
          <w:color w:val="262626"/>
          <w:sz w:val="24"/>
          <w:szCs w:val="24"/>
          <w:highlight w:val="white"/>
          <w:rtl w:val="0"/>
        </w:rPr>
        <w:t xml:space="preserve">. Geneva: WHO.</w:t>
      </w:r>
    </w:p>
    <w:p w:rsidR="00000000" w:rsidDel="00000000" w:rsidP="00000000" w:rsidRDefault="00000000" w:rsidRPr="00000000" w14:paraId="0000004B">
      <w:pPr>
        <w:spacing w:after="240" w:before="240" w:line="240" w:lineRule="auto"/>
        <w:rPr>
          <w:color w:val="262626"/>
          <w:sz w:val="24"/>
          <w:szCs w:val="24"/>
          <w:highlight w:val="white"/>
        </w:rPr>
      </w:pPr>
      <w:r w:rsidDel="00000000" w:rsidR="00000000" w:rsidRPr="00000000">
        <w:rPr>
          <w:color w:val="262626"/>
          <w:sz w:val="24"/>
          <w:szCs w:val="24"/>
          <w:highlight w:val="white"/>
          <w:rtl w:val="0"/>
        </w:rPr>
        <w:t xml:space="preserve">Miller, W.R. and Rollnick, S. (2013) </w:t>
      </w:r>
      <w:r w:rsidDel="00000000" w:rsidR="00000000" w:rsidRPr="00000000">
        <w:rPr>
          <w:i w:val="1"/>
          <w:iCs w:val="1"/>
          <w:color w:val="262626"/>
          <w:sz w:val="24"/>
          <w:szCs w:val="24"/>
          <w:highlight w:val="white"/>
          <w:rtl w:val="0"/>
        </w:rPr>
        <w:t xml:space="preserve">Motivational interviewing: Helping people change</w:t>
      </w:r>
      <w:r w:rsidDel="00000000" w:rsidR="00000000" w:rsidRPr="00000000">
        <w:rPr>
          <w:color w:val="262626"/>
          <w:sz w:val="24"/>
          <w:szCs w:val="24"/>
          <w:highlight w:val="white"/>
          <w:rtl w:val="0"/>
        </w:rPr>
        <w:t xml:space="preserve">. 3rd edn. New York: Guilford Press.</w:t>
      </w:r>
    </w:p>
    <w:p w:rsidR="00000000" w:rsidDel="00000000" w:rsidP="00000000" w:rsidRDefault="00000000" w:rsidRPr="00000000" w14:paraId="0000004C">
      <w:pPr>
        <w:spacing w:after="240" w:before="240" w:line="240" w:lineRule="auto"/>
        <w:rPr>
          <w:sz w:val="24"/>
          <w:szCs w:val="24"/>
        </w:rPr>
      </w:pPr>
      <w:r w:rsidDel="00000000" w:rsidR="00000000" w:rsidRPr="00000000">
        <w:rPr>
          <w:color w:val="262626"/>
          <w:sz w:val="24"/>
          <w:szCs w:val="24"/>
          <w:highlight w:val="white"/>
          <w:rtl w:val="0"/>
        </w:rPr>
        <w:t xml:space="preserve">Thombs, D.L. and Osborn, C.J. (2019) </w:t>
      </w:r>
      <w:r w:rsidDel="00000000" w:rsidR="00000000" w:rsidRPr="00000000">
        <w:rPr>
          <w:i w:val="1"/>
          <w:iCs w:val="1"/>
          <w:color w:val="262626"/>
          <w:sz w:val="24"/>
          <w:szCs w:val="24"/>
          <w:highlight w:val="white"/>
          <w:rtl w:val="0"/>
        </w:rPr>
        <w:t xml:space="preserve">Introduction to addictive behaviours</w:t>
      </w:r>
      <w:r w:rsidDel="00000000" w:rsidR="00000000" w:rsidRPr="00000000">
        <w:rPr>
          <w:color w:val="262626"/>
          <w:sz w:val="24"/>
          <w:szCs w:val="24"/>
          <w:highlight w:val="white"/>
          <w:rtl w:val="0"/>
        </w:rPr>
        <w:t xml:space="preserve">. 5th edn. New York: Guilford Press.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