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27" w:rsidRDefault="00A518F9" w:rsidP="00A518F9">
      <w:pPr>
        <w:pStyle w:val="Ttulo1"/>
        <w:jc w:val="center"/>
        <w:rPr>
          <w:u w:val="single"/>
        </w:rPr>
      </w:pPr>
      <w:r w:rsidRPr="00A518F9">
        <w:rPr>
          <w:u w:val="single"/>
        </w:rPr>
        <w:t>EJERCICIO</w:t>
      </w:r>
    </w:p>
    <w:p w:rsidR="00A518F9" w:rsidRDefault="00A518F9" w:rsidP="00A518F9"/>
    <w:p w:rsidR="00A518F9" w:rsidRDefault="00E64930" w:rsidP="00A518F9">
      <w:r>
        <w:t>A partir del siguiente código de una función que recibe como parámetro una cadena de caracteres (correo electrónico) y que es llamado desde el método principal de una clase,</w:t>
      </w:r>
      <w:r w:rsidR="00A518F9">
        <w:t xml:space="preserve"> realiza</w:t>
      </w:r>
      <w:r w:rsidR="0010104A">
        <w:t xml:space="preserve"> las pruebas de cubrimiento: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Función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Sentencias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Decisión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Condición</w:t>
      </w:r>
    </w:p>
    <w:p w:rsidR="00C521E3" w:rsidRDefault="00C521E3" w:rsidP="00A518F9"/>
    <w:p w:rsidR="00C521E3" w:rsidRDefault="00C521E3" w:rsidP="00A518F9">
      <w:r>
        <w:rPr>
          <w:noProof/>
          <w:lang w:eastAsia="es-ES"/>
        </w:rPr>
        <w:drawing>
          <wp:inline distT="0" distB="0" distL="0" distR="0" wp14:anchorId="228C03C9" wp14:editId="2D8FE353">
            <wp:extent cx="5400040" cy="4198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E64930" w:rsidRDefault="00E64930" w:rsidP="00A518F9">
      <w:pPr>
        <w:sectPr w:rsidR="00E649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F3DB9" w:rsidRDefault="002F3DB9" w:rsidP="00A518F9"/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910"/>
        <w:gridCol w:w="2967"/>
        <w:gridCol w:w="9293"/>
      </w:tblGrid>
      <w:tr w:rsidR="00E64930" w:rsidRPr="00E64930" w:rsidTr="007C4A1B">
        <w:tc>
          <w:tcPr>
            <w:tcW w:w="1910" w:type="dxa"/>
            <w:shd w:val="clear" w:color="auto" w:fill="AEAAAA" w:themeFill="background2" w:themeFillShade="BF"/>
            <w:vAlign w:val="center"/>
          </w:tcPr>
          <w:p w:rsidR="00E64930" w:rsidRPr="00E64930" w:rsidRDefault="00E64930" w:rsidP="00E64930">
            <w:pPr>
              <w:jc w:val="center"/>
              <w:rPr>
                <w:b/>
              </w:rPr>
            </w:pPr>
            <w:r w:rsidRPr="00E64930">
              <w:rPr>
                <w:b/>
              </w:rPr>
              <w:t>CUBRIMIENTO</w:t>
            </w:r>
          </w:p>
        </w:tc>
        <w:tc>
          <w:tcPr>
            <w:tcW w:w="2967" w:type="dxa"/>
            <w:shd w:val="clear" w:color="auto" w:fill="AEAAAA" w:themeFill="background2" w:themeFillShade="BF"/>
            <w:vAlign w:val="center"/>
          </w:tcPr>
          <w:p w:rsidR="00E64930" w:rsidRPr="00E64930" w:rsidRDefault="00E64930" w:rsidP="00E64930">
            <w:pPr>
              <w:jc w:val="center"/>
              <w:rPr>
                <w:b/>
              </w:rPr>
            </w:pPr>
            <w:r w:rsidRPr="00E64930">
              <w:rPr>
                <w:b/>
              </w:rPr>
              <w:t>PRUEBA</w:t>
            </w:r>
          </w:p>
        </w:tc>
        <w:tc>
          <w:tcPr>
            <w:tcW w:w="9293" w:type="dxa"/>
            <w:shd w:val="clear" w:color="auto" w:fill="AEAAAA" w:themeFill="background2" w:themeFillShade="BF"/>
            <w:vAlign w:val="center"/>
          </w:tcPr>
          <w:p w:rsidR="00E64930" w:rsidRPr="00E64930" w:rsidRDefault="00E64930" w:rsidP="00E64930">
            <w:pPr>
              <w:jc w:val="center"/>
              <w:rPr>
                <w:b/>
              </w:rPr>
            </w:pPr>
            <w:r w:rsidRPr="00E64930">
              <w:rPr>
                <w:b/>
              </w:rPr>
              <w:t>SATISFECHO</w:t>
            </w:r>
          </w:p>
        </w:tc>
      </w:tr>
      <w:tr w:rsidR="00E64930" w:rsidTr="007C4A1B">
        <w:tc>
          <w:tcPr>
            <w:tcW w:w="1910" w:type="dxa"/>
          </w:tcPr>
          <w:p w:rsidR="002F3DB9" w:rsidRDefault="00E64930" w:rsidP="00A518F9">
            <w:r>
              <w:t>Función</w:t>
            </w:r>
          </w:p>
        </w:tc>
        <w:tc>
          <w:tcPr>
            <w:tcW w:w="2967" w:type="dxa"/>
          </w:tcPr>
          <w:p w:rsidR="002F3DB9" w:rsidRDefault="002F3DB9" w:rsidP="00A518F9"/>
        </w:tc>
        <w:tc>
          <w:tcPr>
            <w:tcW w:w="9293" w:type="dxa"/>
          </w:tcPr>
          <w:p w:rsidR="002F3DB9" w:rsidRDefault="00E64930" w:rsidP="007C4A1B">
            <w:pPr>
              <w:jc w:val="left"/>
            </w:pPr>
            <w:r>
              <w:t>Consideramos que la función es llamada desde el código del programa</w:t>
            </w:r>
          </w:p>
        </w:tc>
      </w:tr>
      <w:tr w:rsidR="00E64930" w:rsidTr="007C4A1B">
        <w:tc>
          <w:tcPr>
            <w:tcW w:w="1910" w:type="dxa"/>
            <w:vMerge w:val="restart"/>
          </w:tcPr>
          <w:p w:rsidR="00E64930" w:rsidRDefault="00E64930" w:rsidP="00A518F9">
            <w:r>
              <w:t>Sentencias</w:t>
            </w:r>
          </w:p>
        </w:tc>
        <w:tc>
          <w:tcPr>
            <w:tcW w:w="2967" w:type="dxa"/>
          </w:tcPr>
          <w:p w:rsidR="00E64930" w:rsidRDefault="00E64930" w:rsidP="00A518F9">
            <w:r>
              <w:t>“mario@gmail.com”</w:t>
            </w:r>
          </w:p>
        </w:tc>
        <w:tc>
          <w:tcPr>
            <w:tcW w:w="9293" w:type="dxa"/>
          </w:tcPr>
          <w:p w:rsidR="00E64930" w:rsidRPr="00E64930" w:rsidRDefault="00E64930" w:rsidP="007C4A1B">
            <w:pPr>
              <w:jc w:val="left"/>
              <w:rPr>
                <w:b/>
              </w:rPr>
            </w:pPr>
            <w:r>
              <w:t xml:space="preserve">Cubre todas las sentencias menos el </w:t>
            </w:r>
            <w:proofErr w:type="spellStart"/>
            <w:r>
              <w:rPr>
                <w:b/>
              </w:rPr>
              <w:t>else</w:t>
            </w:r>
            <w:proofErr w:type="spellEnd"/>
            <w:r>
              <w:rPr>
                <w:b/>
              </w:rPr>
              <w:t xml:space="preserve"> mail=</w:t>
            </w:r>
            <w:proofErr w:type="spellStart"/>
            <w:r>
              <w:rPr>
                <w:b/>
              </w:rPr>
              <w:t>JOptionPane.showInputDialog</w:t>
            </w:r>
            <w:proofErr w:type="spellEnd"/>
            <w:r>
              <w:rPr>
                <w:b/>
              </w:rPr>
              <w:t>(“Dame otro email”);</w:t>
            </w:r>
          </w:p>
        </w:tc>
      </w:tr>
      <w:tr w:rsidR="00E64930" w:rsidTr="007C4A1B">
        <w:tc>
          <w:tcPr>
            <w:tcW w:w="1910" w:type="dxa"/>
            <w:vMerge/>
          </w:tcPr>
          <w:p w:rsidR="00E64930" w:rsidRDefault="00E64930" w:rsidP="00A518F9"/>
        </w:tc>
        <w:tc>
          <w:tcPr>
            <w:tcW w:w="2967" w:type="dxa"/>
          </w:tcPr>
          <w:p w:rsidR="00E64930" w:rsidRDefault="00E64930" w:rsidP="00A518F9">
            <w:r>
              <w:t>“</w:t>
            </w:r>
            <w:proofErr w:type="spellStart"/>
            <w:r>
              <w:t>mario</w:t>
            </w:r>
            <w:proofErr w:type="spellEnd"/>
            <w:r>
              <w:t>”</w:t>
            </w:r>
          </w:p>
        </w:tc>
        <w:tc>
          <w:tcPr>
            <w:tcW w:w="9293" w:type="dxa"/>
          </w:tcPr>
          <w:p w:rsidR="00E64930" w:rsidRDefault="00E64930" w:rsidP="007C4A1B">
            <w:pPr>
              <w:jc w:val="left"/>
            </w:pPr>
            <w:r>
              <w:t>Con este parámetro</w:t>
            </w:r>
            <w:r w:rsidR="007C4A1B">
              <w:t xml:space="preserve"> se cubre la sentencia </w:t>
            </w:r>
            <w:proofErr w:type="spellStart"/>
            <w:r w:rsidR="007C4A1B">
              <w:rPr>
                <w:b/>
              </w:rPr>
              <w:t>else</w:t>
            </w:r>
            <w:proofErr w:type="spellEnd"/>
            <w:r w:rsidR="007C4A1B">
              <w:rPr>
                <w:b/>
              </w:rPr>
              <w:t xml:space="preserve"> mail=</w:t>
            </w:r>
            <w:proofErr w:type="spellStart"/>
            <w:r w:rsidR="007C4A1B">
              <w:rPr>
                <w:b/>
              </w:rPr>
              <w:t>JOptionPane.showInputDialog</w:t>
            </w:r>
            <w:proofErr w:type="spellEnd"/>
            <w:r w:rsidR="007C4A1B">
              <w:rPr>
                <w:b/>
              </w:rPr>
              <w:t>(“Dame otro email”);</w:t>
            </w:r>
          </w:p>
        </w:tc>
      </w:tr>
      <w:tr w:rsidR="007C4A1B" w:rsidTr="007C4A1B">
        <w:tc>
          <w:tcPr>
            <w:tcW w:w="1910" w:type="dxa"/>
            <w:vMerge w:val="restart"/>
          </w:tcPr>
          <w:p w:rsidR="007C4A1B" w:rsidRDefault="007C4A1B" w:rsidP="007C4A1B">
            <w:pPr>
              <w:jc w:val="left"/>
            </w:pPr>
            <w:r>
              <w:t>Decisión</w:t>
            </w:r>
          </w:p>
        </w:tc>
        <w:tc>
          <w:tcPr>
            <w:tcW w:w="2967" w:type="dxa"/>
          </w:tcPr>
          <w:p w:rsidR="007C4A1B" w:rsidRDefault="007C4A1B" w:rsidP="007C4A1B">
            <w:r>
              <w:t>“mario@gmail.com”</w:t>
            </w:r>
          </w:p>
        </w:tc>
        <w:tc>
          <w:tcPr>
            <w:tcW w:w="9293" w:type="dxa"/>
          </w:tcPr>
          <w:p w:rsidR="007C4A1B" w:rsidRDefault="007C4A1B" w:rsidP="007C4A1B">
            <w:pPr>
              <w:jc w:val="left"/>
            </w:pPr>
            <w:r>
              <w:t>Con este parámetro se cubren las decisiones:</w:t>
            </w:r>
          </w:p>
          <w:p w:rsidR="007C4A1B" w:rsidRDefault="007C4A1B" w:rsidP="007C4A1B">
            <w:pPr>
              <w:jc w:val="left"/>
            </w:pPr>
            <w:proofErr w:type="spellStart"/>
            <w:proofErr w:type="gramStart"/>
            <w:r w:rsidRPr="007C4A1B">
              <w:rPr>
                <w:b/>
              </w:rPr>
              <w:t>if</w:t>
            </w:r>
            <w:proofErr w:type="spellEnd"/>
            <w:proofErr w:type="gramEnd"/>
            <w:r w:rsidRPr="007C4A1B">
              <w:rPr>
                <w:b/>
              </w:rPr>
              <w:t xml:space="preserve"> (</w:t>
            </w:r>
            <w:proofErr w:type="spellStart"/>
            <w:r w:rsidRPr="007C4A1B">
              <w:rPr>
                <w:b/>
              </w:rPr>
              <w:t>mail.length</w:t>
            </w:r>
            <w:proofErr w:type="spellEnd"/>
            <w:r w:rsidR="00F75EA5">
              <w:rPr>
                <w:b/>
              </w:rPr>
              <w:t>()</w:t>
            </w:r>
            <w:r>
              <w:rPr>
                <w:b/>
              </w:rPr>
              <w:t>&gt;</w:t>
            </w:r>
            <w:r w:rsidRPr="007C4A1B">
              <w:rPr>
                <w:b/>
              </w:rPr>
              <w:t>3)</w:t>
            </w:r>
            <w:r>
              <w:rPr>
                <w:b/>
              </w:rPr>
              <w:t xml:space="preserve"> </w:t>
            </w:r>
            <w:r>
              <w:t>dado que el parámetro tiene una longitud de 15 caracteres y es “verdadera”. No existe en el código la opción de “falsa”</w:t>
            </w:r>
          </w:p>
          <w:p w:rsidR="007C4A1B" w:rsidRDefault="007C4A1B" w:rsidP="007C4A1B">
            <w:pPr>
              <w:jc w:val="left"/>
            </w:pPr>
            <w:r>
              <w:t>Del mismo modo, las decisiones:</w:t>
            </w:r>
          </w:p>
          <w:p w:rsidR="007C4A1B" w:rsidRDefault="007C4A1B" w:rsidP="007C4A1B">
            <w:pPr>
              <w:jc w:val="left"/>
            </w:pPr>
            <w:proofErr w:type="spellStart"/>
            <w:r w:rsidRPr="007C4A1B">
              <w:rPr>
                <w:b/>
              </w:rPr>
              <w:t>if</w:t>
            </w:r>
            <w:proofErr w:type="spellEnd"/>
            <w:r w:rsidRPr="007C4A1B">
              <w:rPr>
                <w:b/>
              </w:rPr>
              <w:t xml:space="preserve"> (</w:t>
            </w:r>
            <w:proofErr w:type="spellStart"/>
            <w:r w:rsidRPr="007C4A1B">
              <w:rPr>
                <w:b/>
              </w:rPr>
              <w:t>mail.charAt</w:t>
            </w:r>
            <w:proofErr w:type="spellEnd"/>
            <w:r w:rsidRPr="007C4A1B">
              <w:rPr>
                <w:b/>
              </w:rPr>
              <w:t>(i)==’@’)</w:t>
            </w:r>
            <w:r>
              <w:rPr>
                <w:b/>
              </w:rPr>
              <w:t xml:space="preserve"> </w:t>
            </w:r>
            <w:r>
              <w:t xml:space="preserve">y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mail.charAt</w:t>
            </w:r>
            <w:proofErr w:type="spellEnd"/>
            <w:r>
              <w:rPr>
                <w:b/>
              </w:rPr>
              <w:t xml:space="preserve">(i)==’.’) </w:t>
            </w:r>
            <w:r>
              <w:t>se cubren a medida que el bucle va recorriendo los distintos caracteres del parámetro</w:t>
            </w:r>
            <w:r w:rsidR="00F75EA5">
              <w:t xml:space="preserve"> (verdadero y falso)</w:t>
            </w:r>
          </w:p>
          <w:p w:rsidR="009A4F90" w:rsidRDefault="009A4F90" w:rsidP="007C4A1B">
            <w:pPr>
              <w:jc w:val="left"/>
            </w:pPr>
            <w:r>
              <w:t>También se cubre la decisión:</w:t>
            </w:r>
          </w:p>
          <w:p w:rsidR="009A4F90" w:rsidRPr="009A4F90" w:rsidRDefault="009A4F90" w:rsidP="007C4A1B">
            <w:pPr>
              <w:jc w:val="left"/>
            </w:pP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cont</w:t>
            </w:r>
            <w:proofErr w:type="spellEnd"/>
            <w:r>
              <w:rPr>
                <w:b/>
              </w:rPr>
              <w:t xml:space="preserve">==1 &amp;&amp; </w:t>
            </w:r>
            <w:proofErr w:type="spellStart"/>
            <w:r>
              <w:rPr>
                <w:b/>
              </w:rPr>
              <w:t>cont</w:t>
            </w:r>
            <w:proofErr w:type="spellEnd"/>
            <w:r>
              <w:rPr>
                <w:b/>
              </w:rPr>
              <w:t xml:space="preserve">==1) </w:t>
            </w:r>
            <w:r>
              <w:t>queda cubierto al encontrar tanto la ‘@’ como el ‘.’ e incrementarse los contadores, de manera que la decisión es verdadera</w:t>
            </w:r>
          </w:p>
        </w:tc>
      </w:tr>
      <w:tr w:rsidR="007C4A1B" w:rsidTr="007C4A1B">
        <w:tc>
          <w:tcPr>
            <w:tcW w:w="1910" w:type="dxa"/>
            <w:vMerge/>
          </w:tcPr>
          <w:p w:rsidR="007C4A1B" w:rsidRDefault="007C4A1B" w:rsidP="007C4A1B">
            <w:pPr>
              <w:jc w:val="left"/>
            </w:pPr>
          </w:p>
        </w:tc>
        <w:tc>
          <w:tcPr>
            <w:tcW w:w="2967" w:type="dxa"/>
          </w:tcPr>
          <w:p w:rsidR="007C4A1B" w:rsidRDefault="007C4A1B" w:rsidP="007C4A1B">
            <w:r>
              <w:t>“</w:t>
            </w:r>
            <w:proofErr w:type="spellStart"/>
            <w:r>
              <w:t>mario</w:t>
            </w:r>
            <w:proofErr w:type="spellEnd"/>
            <w:r>
              <w:t>”</w:t>
            </w:r>
          </w:p>
        </w:tc>
        <w:tc>
          <w:tcPr>
            <w:tcW w:w="9293" w:type="dxa"/>
          </w:tcPr>
          <w:p w:rsidR="007C4A1B" w:rsidRPr="009A4F90" w:rsidRDefault="009A4F90" w:rsidP="007C4A1B">
            <w:pPr>
              <w:jc w:val="left"/>
            </w:pPr>
            <w:r>
              <w:t xml:space="preserve">La decisión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cont</w:t>
            </w:r>
            <w:proofErr w:type="spellEnd"/>
            <w:r>
              <w:rPr>
                <w:b/>
              </w:rPr>
              <w:t xml:space="preserve">==1 &amp;&amp; </w:t>
            </w:r>
            <w:proofErr w:type="spellStart"/>
            <w:r>
              <w:rPr>
                <w:b/>
              </w:rPr>
              <w:t>cont</w:t>
            </w:r>
            <w:proofErr w:type="spellEnd"/>
            <w:r>
              <w:rPr>
                <w:b/>
              </w:rPr>
              <w:t xml:space="preserve">==1) </w:t>
            </w:r>
            <w:r>
              <w:t>es falsa dado que no se cumple que se incrementen los contadores</w:t>
            </w:r>
          </w:p>
        </w:tc>
      </w:tr>
      <w:tr w:rsidR="00D31D4D" w:rsidTr="00D31D4D">
        <w:trPr>
          <w:trHeight w:val="460"/>
        </w:trPr>
        <w:tc>
          <w:tcPr>
            <w:tcW w:w="1910" w:type="dxa"/>
            <w:vMerge w:val="restart"/>
          </w:tcPr>
          <w:p w:rsidR="00D31D4D" w:rsidRDefault="00D31D4D" w:rsidP="007C4A1B">
            <w:pPr>
              <w:jc w:val="left"/>
            </w:pPr>
            <w:r>
              <w:t>Condición</w:t>
            </w:r>
          </w:p>
        </w:tc>
        <w:tc>
          <w:tcPr>
            <w:tcW w:w="2967" w:type="dxa"/>
          </w:tcPr>
          <w:p w:rsidR="00D31D4D" w:rsidRDefault="00D31D4D" w:rsidP="007C4A1B">
            <w:r>
              <w:t>“mario@gmail.com”</w:t>
            </w:r>
          </w:p>
        </w:tc>
        <w:tc>
          <w:tcPr>
            <w:tcW w:w="9293" w:type="dxa"/>
          </w:tcPr>
          <w:p w:rsidR="00D31D4D" w:rsidRDefault="00D31D4D" w:rsidP="007C4A1B">
            <w:pPr>
              <w:jc w:val="left"/>
            </w:pPr>
            <w:r>
              <w:t>Con este parámetro se cubren las condiciones:</w:t>
            </w:r>
          </w:p>
          <w:p w:rsidR="00D31D4D" w:rsidRPr="001564E9" w:rsidRDefault="00D31D4D" w:rsidP="001564E9">
            <w:pPr>
              <w:jc w:val="left"/>
            </w:pPr>
            <w:proofErr w:type="spellStart"/>
            <w:r w:rsidRPr="00F75EA5">
              <w:rPr>
                <w:b/>
              </w:rPr>
              <w:t>mail.length</w:t>
            </w:r>
            <w:proofErr w:type="spellEnd"/>
            <w:r w:rsidRPr="00F75EA5">
              <w:rPr>
                <w:b/>
              </w:rPr>
              <w:t>&gt;</w:t>
            </w:r>
            <w:proofErr w:type="gramStart"/>
            <w:r w:rsidRPr="00F75EA5">
              <w:rPr>
                <w:b/>
              </w:rPr>
              <w:t>3</w:t>
            </w:r>
            <w:r w:rsidR="001564E9">
              <w:rPr>
                <w:b/>
              </w:rPr>
              <w:t xml:space="preserve"> </w:t>
            </w:r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mail.charAt</w:t>
            </w:r>
            <w:proofErr w:type="spellEnd"/>
            <w:r>
              <w:rPr>
                <w:b/>
              </w:rPr>
              <w:t>(i)==</w:t>
            </w:r>
            <w:r w:rsidR="001564E9">
              <w:rPr>
                <w:b/>
              </w:rPr>
              <w:t>’</w:t>
            </w:r>
            <w:r>
              <w:rPr>
                <w:b/>
              </w:rPr>
              <w:t>@</w:t>
            </w:r>
            <w:r w:rsidR="001564E9">
              <w:rPr>
                <w:b/>
              </w:rPr>
              <w:t>’</w:t>
            </w:r>
            <w:r>
              <w:rPr>
                <w:b/>
              </w:rPr>
              <w:t xml:space="preserve"> </w:t>
            </w:r>
            <w:r w:rsidR="001564E9">
              <w:rPr>
                <w:b/>
              </w:rPr>
              <w:t>,</w:t>
            </w:r>
            <w:r>
              <w:t xml:space="preserve"> </w:t>
            </w:r>
            <w:proofErr w:type="spellStart"/>
            <w:r w:rsidR="001564E9">
              <w:rPr>
                <w:b/>
              </w:rPr>
              <w:t>mail.charAt</w:t>
            </w:r>
            <w:proofErr w:type="spellEnd"/>
            <w:r w:rsidR="001564E9">
              <w:rPr>
                <w:b/>
              </w:rPr>
              <w:t xml:space="preserve">(i)==’.’ , </w:t>
            </w:r>
            <w:proofErr w:type="spellStart"/>
            <w:r>
              <w:rPr>
                <w:b/>
              </w:rPr>
              <w:t>cont</w:t>
            </w:r>
            <w:proofErr w:type="spellEnd"/>
            <w:r>
              <w:rPr>
                <w:b/>
              </w:rPr>
              <w:t>==1 , cont2==1</w:t>
            </w:r>
            <w:r w:rsidR="001564E9">
              <w:rPr>
                <w:b/>
              </w:rPr>
              <w:t xml:space="preserve"> .</w:t>
            </w:r>
            <w:r w:rsidR="001564E9">
              <w:t xml:space="preserve"> Para </w:t>
            </w:r>
            <w:proofErr w:type="spellStart"/>
            <w:proofErr w:type="gramStart"/>
            <w:r w:rsidR="001564E9" w:rsidRPr="001564E9">
              <w:rPr>
                <w:b/>
              </w:rPr>
              <w:t>mail.charAt</w:t>
            </w:r>
            <w:proofErr w:type="spellEnd"/>
            <w:r w:rsidR="001564E9" w:rsidRPr="001564E9">
              <w:rPr>
                <w:b/>
              </w:rPr>
              <w:t>(</w:t>
            </w:r>
            <w:proofErr w:type="gramEnd"/>
            <w:r w:rsidR="001564E9" w:rsidRPr="001564E9">
              <w:rPr>
                <w:b/>
              </w:rPr>
              <w:t>i)==’@’</w:t>
            </w:r>
            <w:r w:rsidR="001564E9">
              <w:t xml:space="preserve"> y </w:t>
            </w:r>
            <w:proofErr w:type="spellStart"/>
            <w:r w:rsidR="001564E9" w:rsidRPr="001564E9">
              <w:rPr>
                <w:b/>
              </w:rPr>
              <w:t>mail.charAt</w:t>
            </w:r>
            <w:proofErr w:type="spellEnd"/>
            <w:r w:rsidR="001564E9" w:rsidRPr="001564E9">
              <w:rPr>
                <w:b/>
              </w:rPr>
              <w:t>(i)==’.’</w:t>
            </w:r>
            <w:r w:rsidR="001564E9">
              <w:rPr>
                <w:b/>
              </w:rPr>
              <w:t xml:space="preserve"> </w:t>
            </w:r>
            <w:r w:rsidR="001564E9">
              <w:t>También se cumplen que sean falsas a medida que el bucle va recorriendo los distintos caracteres.</w:t>
            </w:r>
          </w:p>
        </w:tc>
      </w:tr>
      <w:tr w:rsidR="00D31D4D" w:rsidTr="007C4A1B">
        <w:trPr>
          <w:trHeight w:val="460"/>
        </w:trPr>
        <w:tc>
          <w:tcPr>
            <w:tcW w:w="1910" w:type="dxa"/>
            <w:vMerge/>
          </w:tcPr>
          <w:p w:rsidR="00D31D4D" w:rsidRDefault="00D31D4D" w:rsidP="007C4A1B">
            <w:pPr>
              <w:jc w:val="left"/>
            </w:pPr>
          </w:p>
        </w:tc>
        <w:tc>
          <w:tcPr>
            <w:tcW w:w="2967" w:type="dxa"/>
          </w:tcPr>
          <w:p w:rsidR="00D31D4D" w:rsidRDefault="00D31D4D" w:rsidP="007C4A1B">
            <w:r>
              <w:t>“mar</w:t>
            </w:r>
            <w:r w:rsidR="001564E9">
              <w:t>”</w:t>
            </w:r>
          </w:p>
        </w:tc>
        <w:tc>
          <w:tcPr>
            <w:tcW w:w="9293" w:type="dxa"/>
          </w:tcPr>
          <w:p w:rsidR="00D31D4D" w:rsidRDefault="001564E9" w:rsidP="007C4A1B">
            <w:pPr>
              <w:jc w:val="left"/>
            </w:pPr>
            <w:r>
              <w:t>Se cubren las condiciones:</w:t>
            </w:r>
          </w:p>
          <w:p w:rsidR="001564E9" w:rsidRDefault="001564E9" w:rsidP="007C4A1B">
            <w:pPr>
              <w:jc w:val="left"/>
            </w:pPr>
            <w:proofErr w:type="spellStart"/>
            <w:r w:rsidRPr="001564E9">
              <w:rPr>
                <w:b/>
              </w:rPr>
              <w:t>mail.length</w:t>
            </w:r>
            <w:proofErr w:type="spellEnd"/>
            <w:r w:rsidRPr="001564E9">
              <w:rPr>
                <w:b/>
              </w:rPr>
              <w:t>()&gt;3</w:t>
            </w:r>
            <w:r>
              <w:t xml:space="preserve"> , </w:t>
            </w:r>
            <w:proofErr w:type="spellStart"/>
            <w:r w:rsidRPr="001564E9">
              <w:rPr>
                <w:b/>
              </w:rPr>
              <w:t>cont</w:t>
            </w:r>
            <w:proofErr w:type="spellEnd"/>
            <w:r w:rsidRPr="001564E9">
              <w:rPr>
                <w:b/>
              </w:rPr>
              <w:t>==1</w:t>
            </w:r>
            <w:r>
              <w:t xml:space="preserve"> y </w:t>
            </w:r>
            <w:r w:rsidRPr="001564E9">
              <w:rPr>
                <w:b/>
              </w:rPr>
              <w:t>cont2==1</w:t>
            </w:r>
            <w:r>
              <w:t xml:space="preserve"> son falsas</w:t>
            </w:r>
            <w:bookmarkStart w:id="0" w:name="_GoBack"/>
            <w:bookmarkEnd w:id="0"/>
          </w:p>
          <w:p w:rsidR="001564E9" w:rsidRDefault="001564E9" w:rsidP="007C4A1B">
            <w:pPr>
              <w:jc w:val="left"/>
            </w:pPr>
          </w:p>
        </w:tc>
      </w:tr>
    </w:tbl>
    <w:p w:rsidR="002F3DB9" w:rsidRPr="00A518F9" w:rsidRDefault="002F3DB9" w:rsidP="00A518F9"/>
    <w:sectPr w:rsidR="002F3DB9" w:rsidRPr="00A518F9" w:rsidSect="00E6493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3FB"/>
    <w:multiLevelType w:val="hybridMultilevel"/>
    <w:tmpl w:val="A2E82636"/>
    <w:lvl w:ilvl="0" w:tplc="D0E211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19"/>
    <w:rsid w:val="0010104A"/>
    <w:rsid w:val="001564E9"/>
    <w:rsid w:val="001D2619"/>
    <w:rsid w:val="002F3DB9"/>
    <w:rsid w:val="003A3FBF"/>
    <w:rsid w:val="00475110"/>
    <w:rsid w:val="00750327"/>
    <w:rsid w:val="007C4A1B"/>
    <w:rsid w:val="009A4F90"/>
    <w:rsid w:val="00A518F9"/>
    <w:rsid w:val="00A93A1A"/>
    <w:rsid w:val="00B64EB1"/>
    <w:rsid w:val="00C521E3"/>
    <w:rsid w:val="00CC314F"/>
    <w:rsid w:val="00D31D4D"/>
    <w:rsid w:val="00E60416"/>
    <w:rsid w:val="00E64930"/>
    <w:rsid w:val="00F75EA5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D535-0278-47BE-8BDE-4BAA3827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Cambria"/>
        <w:bCs/>
        <w:sz w:val="24"/>
        <w:szCs w:val="28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A93A1A"/>
    <w:pPr>
      <w:widowControl w:val="0"/>
      <w:autoSpaceDE w:val="0"/>
      <w:autoSpaceDN w:val="0"/>
      <w:spacing w:before="6" w:after="0" w:line="240" w:lineRule="auto"/>
      <w:ind w:left="709" w:hanging="709"/>
      <w:jc w:val="left"/>
      <w:outlineLvl w:val="0"/>
    </w:pPr>
    <w:rPr>
      <w:rFonts w:ascii="Cambria" w:eastAsia="Cambria" w:hAnsi="Cambria"/>
      <w:b/>
      <w:bCs w:val="0"/>
      <w:color w:val="2E74B5" w:themeColor="accent1" w:themeShade="BF"/>
      <w:sz w:val="28"/>
      <w:lang w:val="en-US"/>
    </w:rPr>
  </w:style>
  <w:style w:type="paragraph" w:styleId="Ttulo2">
    <w:name w:val="heading 2"/>
    <w:basedOn w:val="Normal"/>
    <w:link w:val="Ttulo2Car"/>
    <w:uiPriority w:val="1"/>
    <w:qFormat/>
    <w:rsid w:val="00CC314F"/>
    <w:pPr>
      <w:widowControl w:val="0"/>
      <w:autoSpaceDE w:val="0"/>
      <w:autoSpaceDN w:val="0"/>
      <w:spacing w:before="100" w:after="0" w:line="240" w:lineRule="auto"/>
      <w:ind w:left="652" w:hanging="421"/>
      <w:jc w:val="left"/>
      <w:outlineLvl w:val="1"/>
    </w:pPr>
    <w:rPr>
      <w:rFonts w:ascii="Cambria" w:eastAsia="Cambria" w:hAnsi="Cambria"/>
      <w:b/>
      <w:color w:val="323E4F" w:themeColor="text2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93A1A"/>
    <w:rPr>
      <w:rFonts w:ascii="Cambria" w:eastAsia="Cambria" w:hAnsi="Cambria"/>
      <w:b/>
      <w:bCs w:val="0"/>
      <w:color w:val="2E74B5" w:themeColor="accent1" w:themeShade="BF"/>
      <w:sz w:val="28"/>
      <w:lang w:val="en-US"/>
    </w:rPr>
  </w:style>
  <w:style w:type="character" w:customStyle="1" w:styleId="Ttulo2Car">
    <w:name w:val="Título 2 Car"/>
    <w:link w:val="Ttulo2"/>
    <w:uiPriority w:val="1"/>
    <w:rsid w:val="00CC314F"/>
    <w:rPr>
      <w:rFonts w:ascii="Cambria" w:eastAsia="Cambria" w:hAnsi="Cambria"/>
      <w:b/>
      <w:color w:val="323E4F" w:themeColor="text2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1010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2024-01-30T09:32:00Z</dcterms:created>
  <dcterms:modified xsi:type="dcterms:W3CDTF">2024-01-31T10:05:00Z</dcterms:modified>
</cp:coreProperties>
</file>