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verKicker"/>
        <w:spacing w:before="3000" w:after="80"/>
        <w:rPr/>
      </w:pPr>
      <w:r>
        <w:rPr/>
        <w:t>BiblioFlow — Change request CR-BF-01</w:t>
      </w:r>
    </w:p>
    <w:p>
      <w:pPr>
        <w:pStyle w:val="Title"/>
        <w:rPr/>
      </w:pPr>
      <w:r>
        <w:rPr/>
        <w:t>Report di esecuzione dei test pre-modifica</w:t>
      </w:r>
    </w:p>
    <w:p>
      <w:pPr>
        <w:pStyle w:val="CoverMeta"/>
        <w:rPr/>
      </w:pPr>
      <w:r>
        <w:rPr/>
        <w:t>Ingegneria, Gestione ed Evoluzione del Software — A.A. 2025/2026</w:t>
      </w:r>
    </w:p>
    <w:p>
      <w:pPr>
        <w:pStyle w:val="CoverLabel"/>
        <w:rPr/>
      </w:pPr>
      <w:r>
        <w:rPr/>
        <w:t>Gruppo</w:t>
      </w:r>
    </w:p>
    <w:p>
      <w:pPr>
        <w:pStyle w:val="CoverMember"/>
        <w:rPr/>
      </w:pPr>
      <w:r>
        <w:rPr/>
        <w:t>Mario Celzo — NF22500193</w:t>
      </w:r>
    </w:p>
    <w:p>
      <w:pPr>
        <w:pStyle w:val="CoverMember"/>
        <w:rPr/>
      </w:pPr>
      <w:r>
        <w:rPr/>
        <w:t>Renato Mancino — NF22500242</w:t>
      </w:r>
    </w:p>
    <w:p>
      <w:pPr>
        <w:pStyle w:val="CoverMember"/>
        <w:rPr/>
      </w:pPr>
      <w:r>
        <w:rPr/>
        <w:t>Alfonso Maria Ferrara — NF22500210</w:t>
      </w:r>
    </w:p>
    <w:p>
      <w:pPr>
        <w:pStyle w:val="CoverMeta"/>
        <w:rPr/>
      </w:pPr>
      <w:r>
        <w:rPr/>
        <w:t xml:space="preserve">Repository: https://github.com/mariocelzo/biblioflow-app — codice verificato al commit </w:t>
      </w:r>
      <w:r>
        <w:rPr>
          <w:rStyle w:val="VerbatimChar"/>
        </w:rPr>
        <w:t>1730b23</w:t>
      </w:r>
    </w:p>
    <w:p>
      <w:pPr>
        <w:pStyle w:val="CoverMeta"/>
        <w:rPr/>
      </w:pPr>
      <w:r>
        <w:rPr/>
        <w:t>Data: 13 ottobre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OCHeading"/>
        <w:spacing w:before="0" w:after="80"/>
        <w:rPr/>
      </w:pPr>
      <w:r>
        <w:rPr/>
        <w:t>Indice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1347_2049021629">
            <w:r>
              <w:rPr>
                <w:webHidden/>
                <w:rStyle w:val="IndexLink"/>
              </w:rPr>
              <w:t>Scopo</w:t>
              <w:tab/>
              <w:t>3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11349_2049021629">
            <w:r>
              <w:rPr>
                <w:webHidden/>
                <w:rStyle w:val="IndexLink"/>
              </w:rPr>
              <w:t>Metodo di esecuzione</w:t>
              <w:tab/>
              <w:t>3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11351_2049021629">
            <w:r>
              <w:rPr>
                <w:webHidden/>
                <w:rStyle w:val="IndexLink"/>
              </w:rPr>
              <w:t>Ambiente</w:t>
              <w:tab/>
              <w:t>3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11353_2049021629">
            <w:r>
              <w:rPr>
                <w:webHidden/>
                <w:rStyle w:val="IndexLink"/>
              </w:rPr>
              <w:t>Comandi</w:t>
              <w:tab/>
              <w:t>3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11355_2049021629">
            <w:r>
              <w:rPr>
                <w:webHidden/>
                <w:rStyle w:val="IndexLink"/>
              </w:rPr>
              <w:t>Esito complessivo</w:t>
              <w:tab/>
              <w:t>3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11357_2049021629">
            <w:r>
              <w:rPr>
                <w:webHidden/>
                <w:rStyle w:val="IndexLink"/>
              </w:rPr>
              <w:t>Esito per caso — prenotazioni</w:t>
              <w:tab/>
              <w:t>4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11359_2049021629">
            <w:r>
              <w:rPr>
                <w:webHidden/>
                <w:rStyle w:val="IndexLink"/>
              </w:rPr>
              <w:t>Esito per caso — login, admin e UI</w:t>
              <w:tab/>
              <w:t>4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11361_2049021629">
            <w:r>
              <w:rPr>
                <w:webHidden/>
                <w:rStyle w:val="IndexLink"/>
              </w:rPr>
              <w:t>Esito per caso — automazioni e notifiche</w:t>
              <w:tab/>
              <w:t>5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11363_2049021629">
            <w:r>
              <w:rPr>
                <w:webHidden/>
                <w:rStyle w:val="IndexLink"/>
              </w:rPr>
              <w:t>Esito per caso — SSE</w:t>
              <w:tab/>
              <w:t>5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11365_2049021629">
            <w:r>
              <w:rPr>
                <w:webHidden/>
                <w:rStyle w:val="IndexLink"/>
              </w:rPr>
              <w:t>Output di npm test</w:t>
              <w:tab/>
              <w:t>6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11367_2049021629">
            <w:r>
              <w:rPr>
                <w:webHidden/>
                <w:rStyle w:val="IndexLink"/>
              </w:rPr>
              <w:t>Anomalie e limiti della baseline</w:t>
              <w:tab/>
              <w:t>6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11369_2049021629">
            <w:r>
              <w:rPr>
                <w:webHidden/>
                <w:rStyle w:val="IndexLink"/>
              </w:rPr>
              <w:t>Conclusione</w:t>
              <w:tab/>
              <w:t>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before="0" w:after="200"/>
        <w:jc w:val="left"/>
        <w:rPr>
          <w:rFonts w:ascii="Calibri" w:hAnsi="Calibri" w:eastAsia="Calibri" w:cs="Calibri"/>
          <w:sz w:val="21"/>
        </w:rPr>
      </w:pPr>
      <w:r>
        <w:rPr>
          <w:rFonts w:eastAsia="Calibri" w:cs="Calibri"/>
          <w:sz w:val="21"/>
        </w:rPr>
      </w:r>
      <w:r>
        <w:br w:type="page"/>
      </w:r>
    </w:p>
    <w:p>
      <w:pPr>
        <w:pStyle w:val="Heading1"/>
        <w:spacing w:before="0" w:after="120"/>
        <w:rPr/>
      </w:pPr>
      <w:bookmarkStart w:id="0" w:name="__RefHeading___Toc11347_2049021629"/>
      <w:bookmarkStart w:id="1" w:name="scopo"/>
      <w:bookmarkEnd w:id="0"/>
      <w:r>
        <w:rPr/>
        <w:t>Scopo</w:t>
      </w:r>
    </w:p>
    <w:p>
      <w:pPr>
        <w:pStyle w:val="FirstParagraph"/>
        <w:rPr/>
      </w:pPr>
      <w:r>
        <w:rPr/>
        <w:t>Questo documento registra l’esecuzione della suite sul sistema precedente alla CR-BF-01. È il secondo documento di testing richiesto dal corso e va letto insieme alla specifica dei casi pre-modifica.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Task: </w:t>
      </w:r>
      <w:hyperlink r:id="rId2">
        <w:r>
          <w:rPr>
            <w:rStyle w:val="Hyperlink"/>
          </w:rPr>
          <w:t>BIB-22 — Report di esecuzione dei test pre-modifica</w:t>
        </w:r>
      </w:hyperlink>
    </w:p>
    <w:p>
      <w:pPr>
        <w:pStyle w:val="Compact"/>
        <w:numPr>
          <w:ilvl w:val="0"/>
          <w:numId w:val="1"/>
        </w:numPr>
        <w:rPr/>
      </w:pPr>
      <w:r>
        <w:rPr/>
        <w:t>Responsabile operativo dell’esecuzione: Renato Mancino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Baseline funzionale: tag </w:t>
      </w:r>
      <w:r>
        <w:rPr>
          <w:rStyle w:val="VerbatimChar"/>
          <w:b/>
          <w:bCs/>
        </w:rPr>
        <w:t>baseline-pre-cr-bf-01</w:t>
      </w:r>
      <w:r>
        <w:rPr/>
        <w:t xml:space="preserve">, commit </w:t>
      </w:r>
      <w:r>
        <w:rPr>
          <w:rStyle w:val="VerbatimChar"/>
        </w:rPr>
        <w:t>911c4d5ae31a9333e95c1b867efb464c93ebc92f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Commit con infrastruttura di test: </w:t>
      </w:r>
      <w:r>
        <w:rPr>
          <w:rStyle w:val="VerbatimChar"/>
        </w:rPr>
        <w:t>74699693967a4238152349360f02e9542b849460</w:t>
      </w:r>
      <w:r>
        <w:rPr/>
        <w:t xml:space="preserve"> (</w:t>
      </w:r>
      <w:r>
        <w:rPr>
          <w:rStyle w:val="VerbatimChar"/>
        </w:rPr>
        <w:t>main</w:t>
      </w:r>
      <w:r>
        <w:rPr/>
        <w:t>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Suite prenotazioni BIB-19: commit </w:t>
      </w:r>
      <w:r>
        <w:rPr>
          <w:rStyle w:val="VerbatimChar"/>
        </w:rPr>
        <w:t>8e2f5c5d100877bd22673feea7348fdf6875ae65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Suite admin/UI BIB-21: commit </w:t>
      </w:r>
      <w:r>
        <w:rPr>
          <w:rStyle w:val="VerbatimChar"/>
        </w:rPr>
        <w:t>01ca66d4704ca96ef20461e0cfda53595e1ab4ae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Data e ora dell’esecuzione completa: </w:t>
      </w:r>
      <w:r>
        <w:rPr>
          <w:b/>
          <w:bCs/>
        </w:rPr>
        <w:t>2026-08-28 17:59:57 CEST</w:t>
      </w:r>
    </w:p>
    <w:p>
      <w:pPr>
        <w:pStyle w:val="Compact"/>
        <w:numPr>
          <w:ilvl w:val="0"/>
          <w:numId w:val="1"/>
        </w:numPr>
        <w:rPr/>
      </w:pPr>
      <w:bookmarkStart w:id="2" w:name="scopo"/>
      <w:r>
        <w:rPr/>
        <w:t>Criteri di accettazione CR-BF-01: nessuno specifico; l’esecuzione costituisce la baseline di confronto</w:t>
      </w:r>
      <w:bookmarkEnd w:id="2"/>
    </w:p>
    <w:p>
      <w:pPr>
        <w:pStyle w:val="Heading1"/>
        <w:rPr/>
      </w:pPr>
      <w:bookmarkStart w:id="3" w:name="__RefHeading___Toc11349_2049021629"/>
      <w:bookmarkStart w:id="4" w:name="metodo-di-esecuzione"/>
      <w:bookmarkEnd w:id="3"/>
      <w:r>
        <w:rPr/>
        <w:t>Metodo di esecuzione</w:t>
      </w:r>
    </w:p>
    <w:p>
      <w:pPr>
        <w:pStyle w:val="FirstParagraph"/>
        <w:rPr/>
      </w:pPr>
      <w:r>
        <w:rPr/>
        <w:t xml:space="preserve">Il tag funzionale precede l’introduzione di Vitest e quindi, da solo, non contiene il comando </w:t>
      </w:r>
      <w:r>
        <w:rPr>
          <w:rStyle w:val="VerbatimChar"/>
        </w:rPr>
        <w:t>npm test</w:t>
      </w:r>
      <w:r>
        <w:rPr/>
        <w:t xml:space="preserve">. L’esecuzione ha usato </w:t>
      </w:r>
      <w:r>
        <w:rPr>
          <w:rStyle w:val="VerbatimChar"/>
        </w:rPr>
        <w:t>main</w:t>
      </w:r>
      <w:r>
        <w:rPr/>
        <w:t xml:space="preserve"> al commit </w:t>
      </w:r>
      <w:r>
        <w:rPr>
          <w:rStyle w:val="VerbatimChar"/>
        </w:rPr>
        <w:t>7469969</w:t>
      </w:r>
      <w:r>
        <w:rPr/>
        <w:t>, che rende testabile la baseline, più i soli file di test prodotti nelle PR indipendenti BIB-19 e BIB-21.</w:t>
      </w:r>
    </w:p>
    <w:p>
      <w:pPr>
        <w:pStyle w:val="BodyText"/>
        <w:rPr/>
      </w:pPr>
      <w:r>
        <w:rPr/>
        <w:t xml:space="preserve">Per non contaminare il branch documentale sono stati creati worktree temporanei ai commit delle due suite. L’esecuzione finale ha unito esclusivamente i cinque file </w:t>
      </w:r>
      <w:r>
        <w:rPr>
          <w:rStyle w:val="VerbatimChar"/>
        </w:rPr>
        <w:t>tests/pre-modifica/*.test.ts</w:t>
      </w:r>
      <w:r>
        <w:rPr/>
        <w:t>; i sorgenti applicativi sono rimasti quelli del riferimento di esecuzione. I worktree e il database sono stati rimossi al termine.</w:t>
      </w:r>
    </w:p>
    <w:p>
      <w:pPr>
        <w:pStyle w:val="Heading2"/>
        <w:rPr/>
      </w:pPr>
      <w:bookmarkStart w:id="5" w:name="__RefHeading___Toc11351_2049021629"/>
      <w:bookmarkEnd w:id="5"/>
      <w:r>
        <w:rPr/>
        <w:t>Ambiente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705"/>
        <w:gridCol w:w="4706"/>
      </w:tblGrid>
      <w:tr>
        <w:trPr>
          <w:tblHeader w:val="true"/>
        </w:trPr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Componente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Versione/configurazione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Sistema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Windows, timezone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Europe/Rome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Node.js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v22.12.0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npm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10.9.0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Vitest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4.1.11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Docker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29.1.3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Database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PostgreSQL 16 Alpine, container effimero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biblioflow-test-db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URL test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database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biblioflow_test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su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127.0.0.1:5433</w:t>
            </w:r>
            <w:bookmarkStart w:id="6" w:name="ambiente"/>
            <w:bookmarkEnd w:id="6"/>
          </w:p>
        </w:tc>
      </w:tr>
    </w:tbl>
    <w:p>
      <w:pPr>
        <w:pStyle w:val="Heading2"/>
        <w:rPr/>
      </w:pPr>
      <w:bookmarkStart w:id="7" w:name="__RefHeading___Toc11353_2049021629"/>
      <w:bookmarkEnd w:id="7"/>
      <w:r>
        <w:rPr/>
        <w:t>Comandi</w:t>
      </w:r>
    </w:p>
    <w:p>
      <w:pPr>
        <w:pStyle w:val="SourceCode"/>
        <w:rPr/>
      </w:pPr>
      <w:r>
        <w:rPr>
          <w:rStyle w:val="VerbatimChar"/>
        </w:rPr>
        <w:t>npm run test:db:prepare</w:t>
      </w:r>
      <w:r>
        <w:rPr/>
        <w:br/>
      </w:r>
      <w:r>
        <w:rPr>
          <w:rStyle w:val="VerbatimChar"/>
        </w:rPr>
        <w:t>npm test</w:t>
      </w:r>
      <w:r>
        <w:rPr/>
        <w:br/>
      </w:r>
      <w:r>
        <w:rPr>
          <w:rStyle w:val="VerbatimChar"/>
        </w:rPr>
        <w:t>npm run test:db:down</w:t>
      </w:r>
    </w:p>
    <w:p>
      <w:pPr>
        <w:pStyle w:val="FirstParagraph"/>
        <w:rPr/>
      </w:pPr>
      <w:r>
        <w:rPr/>
        <w:t xml:space="preserve">La preparazione ha applicato lo schema Prisma con </w:t>
      </w:r>
      <w:r>
        <w:rPr>
          <w:rStyle w:val="VerbatimChar"/>
        </w:rPr>
        <w:t>prisma db push</w:t>
      </w:r>
      <w:r>
        <w:rPr/>
        <w:t xml:space="preserve"> sul solo database di test e ha caricato la fixture minima: un utente, una sala, un posto e una prenotazione.</w:t>
      </w:r>
      <w:bookmarkEnd w:id="4"/>
    </w:p>
    <w:p>
      <w:pPr>
        <w:pStyle w:val="Heading1"/>
        <w:rPr/>
      </w:pPr>
      <w:bookmarkStart w:id="8" w:name="__RefHeading___Toc11355_2049021629"/>
      <w:bookmarkStart w:id="9" w:name="esito-complessivo"/>
      <w:bookmarkEnd w:id="8"/>
      <w:r>
        <w:rPr/>
        <w:t>Esito complessivo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705"/>
        <w:gridCol w:w="4706"/>
      </w:tblGrid>
      <w:tr>
        <w:trPr>
          <w:tblHeader w:val="true"/>
        </w:trPr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Indicatore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Risultato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File di test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5 superati su 5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Casi univoci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34 superati su 34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Casi falliti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0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Casi saltati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0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Durata Vitest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3,47 s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Esito processo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</w:tr>
    </w:tbl>
    <w:p>
      <w:pPr>
        <w:pStyle w:val="BodyText"/>
        <w:rPr/>
      </w:pPr>
      <w:r>
        <w:rPr/>
        <w:t xml:space="preserve">Un caso </w:t>
      </w:r>
      <w:r>
        <w:rPr>
          <w:rStyle w:val="VerbatimChar"/>
        </w:rPr>
        <w:t>PASS</w:t>
      </w:r>
      <w:r>
        <w:rPr/>
        <w:t xml:space="preserve"> indica che il comportamento osservato coincide con quello specificato per la baseline. Non implica che il comportamento sia desiderabile: i casi di caratterizzazione passano quando riproducono correttamente un difetto già presente.</w:t>
      </w:r>
      <w:bookmarkEnd w:id="9"/>
    </w:p>
    <w:p>
      <w:pPr>
        <w:pStyle w:val="Heading1"/>
        <w:rPr/>
      </w:pPr>
      <w:bookmarkStart w:id="10" w:name="__RefHeading___Toc11357_2049021629"/>
      <w:bookmarkEnd w:id="10"/>
      <w:r>
        <w:rPr/>
        <w:t>Esito per caso — prenotazioni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66"/>
        <w:gridCol w:w="4279"/>
        <w:gridCol w:w="2567"/>
      </w:tblGrid>
      <w:tr>
        <w:trPr>
          <w:tblHeader w:val="true"/>
        </w:trPr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ID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Esito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Evidenza e note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TC-PRE-001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Creazione valida: HTTP 201, stato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CONFERMATA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, log e notifica richiesti.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TC-PRE-002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Campo obbligatorio mancante rifiutato senza creazione.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TC-PRE-003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Intervallo fuori dall’orario della sala rifiutato.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TC-PRE-004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it-IT" w:eastAsia="en-US" w:bidi="ar-SA"/>
              </w:rPr>
              <w:t>Difetto confermato: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un intervallo con fine precedente all’inizio viene accettato.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TC-PRE-005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Sovrapposizione sullo stesso posto rifiutata con conflitto.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TC-PRE-006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Cancellazione logica e registrazione dell’evento eseguite.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TC-PRE-007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it-IT" w:eastAsia="en-US" w:bidi="ar-SA"/>
              </w:rPr>
              <w:t>Difetto confermato: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un check-in temporalmente valido è giudicato scaduto per il confronto fra data reale e campo Prisma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@db.Time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.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TC-PRE-008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Il percorso PATCH legacy completa il check-in e occupa il posto.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TC-PRE-009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Estensione sovrapposta alla prenotazione successiva rifiutata.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TC-PRE-010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it-IT" w:eastAsia="en-US" w:bidi="ar-SA"/>
              </w:rPr>
              <w:t>Difetto confermato: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un’estensione libera è rifiutata come superiore a otto ore per il calcolo fra date incompatibili.</w:t>
            </w:r>
            <w:bookmarkStart w:id="11" w:name="esito-per-caso-prenotazioni"/>
            <w:bookmarkEnd w:id="11"/>
          </w:p>
        </w:tc>
      </w:tr>
    </w:tbl>
    <w:p>
      <w:pPr>
        <w:pStyle w:val="Heading1"/>
        <w:rPr/>
      </w:pPr>
      <w:bookmarkStart w:id="12" w:name="__RefHeading___Toc11359_2049021629"/>
      <w:bookmarkEnd w:id="12"/>
      <w:r>
        <w:rPr/>
        <w:t>Esito per caso — login, admin e UI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66"/>
        <w:gridCol w:w="4279"/>
        <w:gridCol w:w="2567"/>
      </w:tblGrid>
      <w:tr>
        <w:trPr>
          <w:tblHeader w:val="true"/>
        </w:trPr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ID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Esito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Evidenza e note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TC-PRE-011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Account attivo autenticato e ultimo accesso aggiornato.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TC-PRE-012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Password errata rifiutata senza aggiornare l’accesso.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TC-PRE-013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Account disattivato rifiutato prima della verifica password.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TC-PRE-014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Pagina admin anonima reindirizzata al login con callback URL.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TC-PRE-015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API protetta anonima rifiutata con HTTP 401.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TC-PRE-016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La presenza del cookie lascia proseguire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/prenota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; il middleware non valida contenuto del token o ruolo.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TC-PRE-017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STUDENTE rifiutato dall’API statistiche admin con HTTP 403 e senza query dati.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TC-PRE-018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BIBLIOTECARIO rifiutato dalla modifica dello stato utente, riservata ad ADMIN.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TC-PRE-019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BIBLIOTECARIO ammesso alla lettura di dettagli e conteggi utente.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TC-PRE-020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Restituzione prestito registrata con stato, data, log e notifica.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TC-PRE-021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Cancellazione admin di una prenotazione in check-in e liberazione del posto eseguite.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TC-PRE-022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Tasso no-show aggregato nelle percentuali attese.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TC-PRE-023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it-IT" w:eastAsia="en-US" w:bidi="ar-SA"/>
              </w:rPr>
              <w:t>Comportamento da modificare: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la UI invia ancora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userId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nel payload di prenotazione.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TC-PRE-024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Il payload prodotto dalla UI crea una prenotazione confermata con HTTP 201.</w:t>
            </w:r>
          </w:p>
        </w:tc>
      </w:tr>
    </w:tbl>
    <w:p>
      <w:pPr>
        <w:pStyle w:val="Heading1"/>
        <w:rPr/>
      </w:pPr>
      <w:bookmarkStart w:id="13" w:name="__RefHeading___Toc11361_2049021629"/>
      <w:bookmarkEnd w:id="13"/>
      <w:r>
        <w:rPr/>
        <w:t>Esito per caso — automazioni e notifiche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66"/>
        <w:gridCol w:w="4279"/>
        <w:gridCol w:w="2567"/>
      </w:tblGrid>
      <w:tr>
        <w:trPr>
          <w:tblHeader w:val="true"/>
        </w:trPr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ID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Esito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Evidenza e note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PRE-AUT-001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Promemoria check-in prodotto con notifica e log.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PRE-AUT-002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Seconda esecuzione giornaliera idempotente: nessun duplicato.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PRE-AUT-003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No-show automatico: stato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NO_SHOW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, posto liberato, notifica e log.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PRE-AUT-004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SCADUTA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resta invariato e senza eventi; la baseline non genera automaticamente questo stato.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PRE-NOT-001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Notifica di posto disponibile inviata all’utente con preferenza osservata.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PRE-NOT-002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Contratto GET notifiche preservato per filtro, paginazione e conteggi.</w:t>
            </w:r>
          </w:p>
        </w:tc>
      </w:tr>
    </w:tbl>
    <w:p>
      <w:pPr>
        <w:pStyle w:val="Heading1"/>
        <w:rPr/>
      </w:pPr>
      <w:bookmarkStart w:id="14" w:name="__RefHeading___Toc11363_2049021629"/>
      <w:bookmarkEnd w:id="14"/>
      <w:r>
        <w:rPr/>
        <w:t>Esito per caso — SSE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66"/>
        <w:gridCol w:w="4279"/>
        <w:gridCol w:w="2567"/>
      </w:tblGrid>
      <w:tr>
        <w:trPr>
          <w:tblHeader w:val="true"/>
        </w:trPr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ID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Esito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Evidenza e note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PRE-SSE-001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Header SSE e commento iniziale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: connected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conformi alla baseline.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PRE-SSE-002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Framing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event/data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e consegna ai soli canali richiesto e wildcard.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PRE-SSE-003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Payload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posto-update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completo e timestamp ISO.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PRE-SSE-004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Client rimosso dal registro alla chiusura dello stream.</w:t>
            </w:r>
          </w:p>
        </w:tc>
      </w:tr>
    </w:tbl>
    <w:p>
      <w:pPr>
        <w:pStyle w:val="BodyText"/>
        <w:rPr/>
      </w:pPr>
      <w:r>
        <w:rPr/>
        <w:t>Questi casi verificano il contratto dei singoli componenti SSE. Non dimostrano un collegamento end-to-end con la pagina di prenotazione: l’analisi BIB-16 ha rilevato che hook, endpoint ed emitter esistono ma non sono collegati completamente alla UI nella baseline.</w:t>
      </w:r>
    </w:p>
    <w:p>
      <w:pPr>
        <w:pStyle w:val="Heading1"/>
        <w:rPr/>
      </w:pPr>
      <w:bookmarkStart w:id="15" w:name="__RefHeading___Toc11365_2049021629"/>
      <w:bookmarkStart w:id="16" w:name="output-di-npm-test"/>
      <w:bookmarkEnd w:id="15"/>
      <w:r>
        <w:rPr/>
        <w:t xml:space="preserve">Output di </w:t>
      </w:r>
      <w:r>
        <w:rPr>
          <w:rStyle w:val="VerbatimChar"/>
        </w:rPr>
        <w:t>npm test</w:t>
      </w:r>
    </w:p>
    <w:p>
      <w:pPr>
        <w:pStyle w:val="SourceCode"/>
        <w:rPr/>
      </w:pPr>
      <w:r>
        <w:rPr>
          <w:rStyle w:val="VerbatimChar"/>
        </w:rPr>
        <w:t>&gt; biblioflow-app@0.1.0 test</w:t>
      </w:r>
      <w:r>
        <w:rPr/>
        <w:br/>
      </w:r>
      <w:r>
        <w:rPr>
          <w:rStyle w:val="VerbatimChar"/>
        </w:rPr>
        <w:t>&gt; vitest run --passWithNoTests</w:t>
      </w:r>
      <w:r>
        <w:rPr/>
        <w:br/>
        <w:br/>
      </w:r>
      <w:r>
        <w:rPr>
          <w:rStyle w:val="VerbatimChar"/>
        </w:rPr>
        <w:t xml:space="preserve"> RUN  v4.1.11 C:/codex-temp-bib22-core</w:t>
      </w:r>
      <w:r>
        <w:rPr/>
        <w:br/>
        <w:br/>
      </w:r>
      <w:r>
        <w:rPr>
          <w:rStyle w:val="VerbatimChar"/>
        </w:rPr>
        <w:t xml:space="preserve"> Test Files  5 passed (5)</w:t>
      </w:r>
      <w:r>
        <w:rPr/>
        <w:br/>
      </w:r>
      <w:r>
        <w:rPr>
          <w:rStyle w:val="VerbatimChar"/>
        </w:rPr>
        <w:t xml:space="preserve">      Tests  34 passed (34)</w:t>
      </w:r>
      <w:r>
        <w:rPr/>
        <w:br/>
      </w:r>
      <w:r>
        <w:rPr>
          <w:rStyle w:val="VerbatimChar"/>
        </w:rPr>
        <w:t xml:space="preserve">   Start at  17:59:57</w:t>
      </w:r>
      <w:r>
        <w:rPr/>
        <w:br/>
      </w:r>
      <w:r>
        <w:rPr>
          <w:rStyle w:val="VerbatimChar"/>
        </w:rPr>
        <w:t xml:space="preserve">   Duration  3.47s (transform 687ms, setup 0ms, import 1.10s,</w:t>
      </w:r>
      <w:r>
        <w:rPr/>
        <w:br/>
      </w:r>
      <w:r>
        <w:rPr>
          <w:rStyle w:val="VerbatimChar"/>
        </w:rPr>
        <w:t xml:space="preserve">             tests 3.25s, environment 1ms)</w:t>
      </w:r>
      <w:bookmarkEnd w:id="16"/>
    </w:p>
    <w:p>
      <w:pPr>
        <w:pStyle w:val="Heading1"/>
        <w:rPr/>
      </w:pPr>
      <w:bookmarkStart w:id="17" w:name="__RefHeading___Toc11367_2049021629"/>
      <w:bookmarkStart w:id="18" w:name="anomalie-e-limiti-della-baseline"/>
      <w:bookmarkEnd w:id="17"/>
      <w:r>
        <w:rPr/>
        <w:t>Anomalie e limiti della baseline</w:t>
      </w:r>
    </w:p>
    <w:p>
      <w:pPr>
        <w:pStyle w:val="FirstParagraph"/>
        <w:rPr/>
      </w:pPr>
      <w:r>
        <w:rPr/>
        <w:t>L’esecuzione conferma tre difetti funzionali già specificati:</w:t>
      </w:r>
    </w:p>
    <w:p>
      <w:pPr>
        <w:pStyle w:val="Compact"/>
        <w:numPr>
          <w:ilvl w:val="0"/>
          <w:numId w:val="4"/>
        </w:numPr>
        <w:rPr/>
      </w:pPr>
      <w:r>
        <w:rPr/>
        <w:t>intervalli invertiti accettati in creazione (</w:t>
      </w:r>
      <w:r>
        <w:rPr>
          <w:rStyle w:val="VerbatimChar"/>
        </w:rPr>
        <w:t>TC-PRE-004</w:t>
      </w:r>
      <w:r>
        <w:rPr/>
        <w:t>);</w:t>
      </w:r>
    </w:p>
    <w:p>
      <w:pPr>
        <w:pStyle w:val="Compact"/>
        <w:numPr>
          <w:ilvl w:val="0"/>
          <w:numId w:val="2"/>
        </w:numPr>
        <w:rPr/>
      </w:pPr>
      <w:r>
        <w:rPr/>
        <w:t>check-in dedicato errato per confronto data/ora (</w:t>
      </w:r>
      <w:r>
        <w:rPr>
          <w:rStyle w:val="VerbatimChar"/>
        </w:rPr>
        <w:t>TC-PRE-007</w:t>
      </w:r>
      <w:r>
        <w:rPr/>
        <w:t>);</w:t>
      </w:r>
    </w:p>
    <w:p>
      <w:pPr>
        <w:pStyle w:val="Compact"/>
        <w:numPr>
          <w:ilvl w:val="0"/>
          <w:numId w:val="2"/>
        </w:numPr>
        <w:rPr/>
      </w:pPr>
      <w:r>
        <w:rPr/>
        <w:t>estensione libera rifiutata per date incompatibili (</w:t>
      </w:r>
      <w:r>
        <w:rPr>
          <w:rStyle w:val="VerbatimChar"/>
        </w:rPr>
        <w:t>TC-PRE-010</w:t>
      </w:r>
      <w:r>
        <w:rPr/>
        <w:t>).</w:t>
      </w:r>
    </w:p>
    <w:p>
      <w:pPr>
        <w:pStyle w:val="FirstParagraph"/>
        <w:rPr/>
      </w:pPr>
      <w:r>
        <w:rPr/>
        <w:t>Conferma inoltre due contratti destinati a cambiare: identità inviata dalla UI (</w:t>
      </w:r>
      <w:r>
        <w:rPr>
          <w:rStyle w:val="VerbatimChar"/>
        </w:rPr>
        <w:t>TC-PRE-023</w:t>
      </w:r>
      <w:r>
        <w:rPr/>
        <w:t>) e middleware basato sulla sola presenza del cookie (</w:t>
      </w:r>
      <w:r>
        <w:rPr>
          <w:rStyle w:val="VerbatimChar"/>
        </w:rPr>
        <w:t>TC-PRE-016</w:t>
      </w:r>
      <w:r>
        <w:rPr/>
        <w:t>). BIB-18 ha censito ulteriori varchi di autorizzazione — accesso a prenotazioni altrui e route admin prive di controllo ruolo — che non hanno ancora un caso negativo eseguibile nella suite pre-modifica. Dovranno comparire nella specifica post-modifica per CA-01.</w:t>
      </w:r>
      <w:bookmarkEnd w:id="18"/>
    </w:p>
    <w:p>
      <w:pPr>
        <w:pStyle w:val="Heading1"/>
        <w:rPr/>
      </w:pPr>
      <w:bookmarkStart w:id="19" w:name="__RefHeading___Toc11369_2049021629"/>
      <w:bookmarkStart w:id="20" w:name="conclusione"/>
      <w:bookmarkEnd w:id="19"/>
      <w:r>
        <w:rPr/>
        <w:t>Conclusione</w:t>
      </w:r>
    </w:p>
    <w:p>
      <w:pPr>
        <w:pStyle w:val="FirstParagraph"/>
        <w:spacing w:lineRule="auto" w:line="268" w:before="180" w:after="120"/>
        <w:rPr/>
      </w:pPr>
      <w:r>
        <w:rPr/>
        <w:t xml:space="preserve">La suite pre-modifica è riproducibile e completamente verde sulla baseline testabile: </w:t>
      </w:r>
      <w:r>
        <w:rPr>
          <w:b/>
          <w:bCs/>
        </w:rPr>
        <w:t>34/34 casi superati</w:t>
      </w:r>
      <w:r>
        <w:rPr/>
        <w:t>. Il risultato fissa sia i comportamenti da preservare sia i difetti da correggere e costituisce il riferimento quantitativo per i report post-modifica e di regressione.</w:t>
      </w:r>
      <w:bookmarkEnd w:id="20"/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247" w:right="1247" w:gutter="0" w:header="720" w:top="1247" w:footer="720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r>
      <w:rPr>
        <w:sz w:val="17"/>
      </w:rPr>
      <w:t xml:space="preserve">Pagina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right"/>
      <w:rPr/>
    </w:pPr>
    <w:r>
      <w:rPr>
        <w:color w:val="707070"/>
        <w:sz w:val="17"/>
      </w:rPr>
      <w:t>BiblioFlow — CR-BF-01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libri" w:hAnsi="Calibri" w:eastAsia="Calibri" w:cs="Calibri"/>
      <w:color w:val="auto"/>
      <w:kern w:val="0"/>
      <w:sz w:val="21"/>
      <w:szCs w:val="24"/>
      <w:lang w:val="it-IT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320" w:after="120"/>
      <w:outlineLvl w:val="0"/>
    </w:pPr>
    <w:rPr>
      <w:rFonts w:ascii="Calibri" w:hAnsi="Calibri" w:eastAsia="Calibri" w:cs="Calibri"/>
      <w:b/>
      <w:bCs/>
      <w:i w:val="false"/>
      <w:color w:val="1F3A68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20" w:after="120"/>
      <w:outlineLvl w:val="1"/>
    </w:pPr>
    <w:rPr>
      <w:rFonts w:ascii="Calibri" w:hAnsi="Calibri" w:eastAsia="Calibri" w:cs="Calibri"/>
      <w:b/>
      <w:bCs/>
      <w:i w:val="false"/>
      <w:color w:val="1F3A68"/>
      <w:sz w:val="27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20" w:after="120"/>
      <w:outlineLvl w:val="2"/>
    </w:pPr>
    <w:rPr>
      <w:rFonts w:ascii="Calibri" w:hAnsi="Calibri" w:eastAsia="Calibri" w:cs="Calibri"/>
      <w:b/>
      <w:bCs/>
      <w:i w:val="false"/>
      <w:color w:val="1F3A68"/>
      <w:sz w:val="23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20" w:after="120"/>
      <w:outlineLvl w:val="3"/>
    </w:pPr>
    <w:rPr>
      <w:rFonts w:ascii="Calibri" w:hAnsi="Calibri" w:eastAsia="Calibri" w:cs="Calibri"/>
      <w:b/>
      <w:bCs/>
      <w:i w:val="false"/>
      <w:color w:val="1F3A68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20" w:after="120"/>
      <w:outlineLvl w:val="4"/>
    </w:pPr>
    <w:rPr>
      <w:rFonts w:ascii="Calibri" w:hAnsi="Calibri" w:eastAsia="Calibri" w:cs="Calibri"/>
      <w:b/>
      <w:i w:val="false"/>
      <w:iCs/>
      <w:color w:val="1F3A68"/>
      <w:sz w:val="21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20" w:after="120"/>
      <w:outlineLvl w:val="5"/>
    </w:pPr>
    <w:rPr>
      <w:rFonts w:ascii="Calibri" w:hAnsi="Calibri" w:eastAsia="Calibri" w:cs="Calibri"/>
      <w:b/>
      <w:i w:val="false"/>
      <w:color w:val="1F3A68"/>
      <w:sz w:val="21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 w:eastAsia="Consolas" w:cs="Consolas"/>
      <w:color w:val="8A1F3D"/>
      <w:sz w:val="18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val="1F5FA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68" w:before="180" w:after="120"/>
    </w:pPr>
    <w:rPr>
      <w:rFonts w:ascii="Calibri" w:hAnsi="Calibri" w:eastAsia="Calibri" w:cs="Calibri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68" w:before="180" w:after="120"/>
    </w:pPr>
    <w:rPr>
      <w:rFonts w:ascii="Calibri" w:hAnsi="Calibri" w:eastAsia="Calibri" w:cs="Calibri"/>
      <w:sz w:val="21"/>
    </w:rPr>
  </w:style>
  <w:style w:type="paragraph" w:styleId="Compact" w:customStyle="1">
    <w:name w:val="Compact"/>
    <w:basedOn w:val="BodyText"/>
    <w:qFormat/>
    <w:pPr>
      <w:spacing w:before="36" w:after="36"/>
    </w:pPr>
    <w:rPr>
      <w:rFonts w:ascii="Calibri" w:hAnsi="Calibri" w:eastAsia="Calibri" w:cs="Calibri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00"/>
      <w:jc w:val="left"/>
    </w:pPr>
    <w:rPr>
      <w:rFonts w:ascii="Calibri" w:hAnsi="Calibri" w:eastAsia="Calibri" w:cs="Calibri"/>
      <w:b/>
      <w:bCs/>
      <w:color w:val="1F3A68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left"/>
    </w:pPr>
    <w:rPr>
      <w:rFonts w:ascii="Calibri" w:hAnsi="Calibri" w:eastAsia="Calibri" w:cs="Calibri"/>
      <w:b w:val="false"/>
      <w:color w:val="444F60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it-IT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it-IT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Normal"/>
    <w:next w:val="BodyText"/>
    <w:uiPriority w:val="39"/>
    <w:unhideWhenUsed/>
    <w:qFormat/>
    <w:pPr>
      <w:spacing w:lineRule="auto" w:line="259" w:before="0" w:after="80"/>
    </w:pPr>
    <w:rPr>
      <w:rFonts w:ascii="Calibri" w:hAnsi="Calibri" w:eastAsia="Calibri" w:cs="Calibri"/>
      <w:b/>
      <w:bCs w:val="false"/>
      <w:color w:val="1F3A68"/>
      <w:sz w:val="34"/>
    </w:rPr>
  </w:style>
  <w:style w:type="paragraph" w:styleId="CoverKicker" w:customStyle="1">
    <w:name w:val="Cover Kicker"/>
    <w:basedOn w:val="Normal"/>
    <w:qFormat/>
    <w:pPr>
      <w:spacing w:before="3000" w:after="80"/>
    </w:pPr>
    <w:rPr>
      <w:rFonts w:ascii="Calibri" w:hAnsi="Calibri" w:eastAsia="Calibri" w:cs="Calibri"/>
      <w:b/>
      <w:color w:val="5A677D"/>
      <w:sz w:val="24"/>
    </w:rPr>
  </w:style>
  <w:style w:type="paragraph" w:styleId="CoverMeta" w:customStyle="1">
    <w:name w:val="Cover Meta"/>
    <w:basedOn w:val="Normal"/>
    <w:qFormat/>
    <w:pPr>
      <w:spacing w:before="160" w:after="80"/>
    </w:pPr>
    <w:rPr>
      <w:rFonts w:ascii="Calibri" w:hAnsi="Calibri" w:eastAsia="Calibri" w:cs="Calibri"/>
      <w:b w:val="false"/>
      <w:color w:val="333333"/>
      <w:sz w:val="21"/>
    </w:rPr>
  </w:style>
  <w:style w:type="paragraph" w:styleId="CoverLabel" w:customStyle="1">
    <w:name w:val="Cover Label"/>
    <w:basedOn w:val="Normal"/>
    <w:qFormat/>
    <w:pPr>
      <w:spacing w:before="520" w:after="80"/>
    </w:pPr>
    <w:rPr>
      <w:rFonts w:ascii="Calibri" w:hAnsi="Calibri" w:eastAsia="Calibri" w:cs="Calibri"/>
      <w:b/>
      <w:color w:val="1F3A68"/>
      <w:sz w:val="21"/>
    </w:rPr>
  </w:style>
  <w:style w:type="paragraph" w:styleId="CoverMember" w:customStyle="1">
    <w:name w:val="Cover Member"/>
    <w:basedOn w:val="Normal"/>
    <w:qFormat/>
    <w:pPr>
      <w:spacing w:before="40" w:after="80"/>
    </w:pPr>
    <w:rPr>
      <w:rFonts w:ascii="Calibri" w:hAnsi="Calibri" w:eastAsia="Calibri" w:cs="Calibri"/>
      <w:b w:val="false"/>
      <w:color w:val="222222"/>
      <w:sz w:val="22"/>
    </w:rPr>
  </w:style>
  <w:style w:type="paragraph" w:styleId="SourceCode" w:customStyle="1">
    <w:name w:val="Source Code"/>
    <w:basedOn w:val="Normal"/>
    <w:qFormat/>
    <w:pPr>
      <w:shd w:val="clear" w:color="auto" w:fill="F3F5F8"/>
      <w:spacing w:lineRule="auto" w:line="240" w:before="0" w:after="0"/>
    </w:pPr>
    <w:rPr>
      <w:rFonts w:ascii="Consolas" w:hAnsi="Consolas" w:eastAsia="Consolas" w:cs="Consolas"/>
      <w:sz w:val="17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412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129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mariospaceforuni.atlassian.net/browse/BIB-22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6</Pages>
  <Words>1049</Words>
  <Characters>6626</Characters>
  <CharactersWithSpaces>7513</CharactersWithSpaces>
  <Paragraphs>202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2026-10-13T12:28:07Z</dcterms:created>
  <dc:creator/>
  <dc:description/>
  <dc:language>it-IT</dc:language>
  <cp:lastModifiedBy/>
  <dcterms:modified xsi:type="dcterms:W3CDTF">2026-10-13T14:28:17Z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