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verKicker"/>
        <w:spacing w:before="3000" w:after="80"/>
        <w:rPr/>
      </w:pPr>
      <w:r>
        <w:rPr/>
        <w:t>BiblioFlow — Change request CR-BF-01</w:t>
      </w:r>
    </w:p>
    <w:p>
      <w:pPr>
        <w:pStyle w:val="Title"/>
        <w:rPr/>
      </w:pPr>
      <w:r>
        <w:rPr/>
        <w:t>Specifica dei casi di test pre-modifica</w:t>
      </w:r>
    </w:p>
    <w:p>
      <w:pPr>
        <w:pStyle w:val="CoverMeta"/>
        <w:rPr/>
      </w:pPr>
      <w:r>
        <w:rPr/>
        <w:t>Ingegneria, Gestione ed Evoluzione del Software — A.A. 2025/2026</w:t>
      </w:r>
    </w:p>
    <w:p>
      <w:pPr>
        <w:pStyle w:val="CoverLabel"/>
        <w:rPr/>
      </w:pPr>
      <w:r>
        <w:rPr/>
        <w:t>Gruppo</w:t>
      </w:r>
    </w:p>
    <w:p>
      <w:pPr>
        <w:pStyle w:val="CoverMember"/>
        <w:rPr/>
      </w:pPr>
      <w:r>
        <w:rPr/>
        <w:t>Mario Celzo — NF22500193</w:t>
      </w:r>
    </w:p>
    <w:p>
      <w:pPr>
        <w:pStyle w:val="CoverMember"/>
        <w:rPr/>
      </w:pPr>
      <w:r>
        <w:rPr/>
        <w:t>Renato Mancino — NF22500242</w:t>
      </w:r>
    </w:p>
    <w:p>
      <w:pPr>
        <w:pStyle w:val="CoverMember"/>
        <w:rPr/>
      </w:pPr>
      <w:r>
        <w:rPr/>
        <w:t>Alfonso Maria Ferrara — NF22500210</w:t>
      </w:r>
    </w:p>
    <w:p>
      <w:pPr>
        <w:pStyle w:val="CoverMeta"/>
        <w:rPr/>
      </w:pPr>
      <w:r>
        <w:rPr/>
        <w:t xml:space="preserve">Repository: https://github.com/mariocelzo/biblioflow-app — codice verificato al commit </w:t>
      </w:r>
      <w:r>
        <w:rPr>
          <w:rStyle w:val="VerbatimChar"/>
        </w:rPr>
        <w:t>1730b23</w:t>
      </w:r>
    </w:p>
    <w:p>
      <w:pPr>
        <w:pStyle w:val="CoverMeta"/>
        <w:rPr/>
      </w:pPr>
      <w:r>
        <w:rPr/>
        <w:t>Data: 13 ottobre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OCHeading"/>
        <w:spacing w:before="0" w:after="80"/>
        <w:rPr/>
      </w:pPr>
      <w:r>
        <w:rPr/>
        <w:t>Indice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0081_2049021629">
            <w:r>
              <w:rPr>
                <w:webHidden/>
                <w:rStyle w:val="IndexLink"/>
              </w:rPr>
              <w:t>Specifica dei casi di test pre-modifica — automazioni, notifiche e SSE</w:t>
              <w:tab/>
              <w:t>3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083_2049021629">
            <w:r>
              <w:rPr>
                <w:webHidden/>
                <w:rStyle w:val="IndexLink"/>
              </w:rPr>
              <w:t>Scopo</w:t>
              <w:tab/>
              <w:t>3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085_2049021629">
            <w:r>
              <w:rPr>
                <w:webHidden/>
                <w:rStyle w:val="IndexLink"/>
              </w:rPr>
              <w:t>Convenzione degli identificativi</w:t>
              <w:tab/>
              <w:t>3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087_2049021629">
            <w:r>
              <w:rPr>
                <w:webHidden/>
                <w:rStyle w:val="IndexLink"/>
              </w:rPr>
              <w:t>Ambiente e dati</w:t>
              <w:tab/>
              <w:t>3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089_2049021629">
            <w:r>
              <w:rPr>
                <w:webHidden/>
                <w:rStyle w:val="IndexLink"/>
              </w:rPr>
              <w:t>Casi di test</w:t>
              <w:tab/>
              <w:t>3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091_2049021629">
            <w:r>
              <w:rPr>
                <w:webHidden/>
                <w:rStyle w:val="IndexLink"/>
              </w:rPr>
              <w:t>Tracciabilità verso i test eseguibili</w:t>
              <w:tab/>
              <w:t>4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093_2049021629">
            <w:r>
              <w:rPr>
                <w:webHidden/>
                <w:rStyle w:val="IndexLink"/>
              </w:rPr>
              <w:t>Esecuzione</w:t>
              <w:tab/>
              <w:t>4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0095_2049021629">
            <w:r>
              <w:rPr>
                <w:webHidden/>
                <w:rStyle w:val="IndexLink"/>
              </w:rPr>
              <w:t>Specifica dei casi di test pre-modifica — area prenotazioni</w:t>
              <w:tab/>
              <w:t>5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097_2049021629">
            <w:r>
              <w:rPr>
                <w:webHidden/>
                <w:rStyle w:val="IndexLink"/>
              </w:rPr>
              <w:t>Scopo e baseline</w:t>
              <w:tab/>
              <w:t>5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099_2049021629">
            <w:r>
              <w:rPr>
                <w:webHidden/>
                <w:rStyle w:val="IndexLink"/>
              </w:rPr>
              <w:t>Dati e convenzioni comuni</w:t>
              <w:tab/>
              <w:t>5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101_2049021629">
            <w:r>
              <w:rPr>
                <w:webHidden/>
                <w:rStyle w:val="IndexLink"/>
              </w:rPr>
              <w:t>Matrice di copertura</w:t>
              <w:tab/>
              <w:t>5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103_2049021629">
            <w:r>
              <w:rPr>
                <w:webHidden/>
                <w:rStyle w:val="IndexLink"/>
              </w:rPr>
              <w:t>Casi di test</w:t>
              <w:tab/>
              <w:t>6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105_2049021629">
            <w:r>
              <w:rPr>
                <w:webHidden/>
                <w:rStyle w:val="IndexLink"/>
              </w:rPr>
              <w:t>Osservazioni per le fasi successive</w:t>
              <w:tab/>
              <w:t>8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10107_2049021629">
            <w:r>
              <w:rPr>
                <w:webHidden/>
                <w:rStyle w:val="IndexLink"/>
              </w:rPr>
              <w:t>Specifica dei casi di test pre-modifica — admin e UI</w:t>
              <w:tab/>
              <w:t>8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109_2049021629">
            <w:r>
              <w:rPr>
                <w:webHidden/>
                <w:rStyle w:val="IndexLink"/>
              </w:rPr>
              <w:t>Scopo e tracciabilità</w:t>
              <w:tab/>
              <w:t>8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111_2049021629">
            <w:r>
              <w:rPr>
                <w:webHidden/>
                <w:rStyle w:val="IndexLink"/>
              </w:rPr>
              <w:t>Matrice ruoli-operazioni verificata</w:t>
              <w:tab/>
              <w:t>8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113_2049021629">
            <w:r>
              <w:rPr>
                <w:webHidden/>
                <w:rStyle w:val="IndexLink"/>
              </w:rPr>
              <w:t>Matrice dei casi</w:t>
              <w:tab/>
              <w:t>9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115_2049021629">
            <w:r>
              <w:rPr>
                <w:webHidden/>
                <w:rStyle w:val="IndexLink"/>
              </w:rPr>
              <w:t>Specifica dettagliata</w:t>
              <w:tab/>
              <w:t>9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10117_2049021629">
            <w:r>
              <w:rPr>
                <w:webHidden/>
                <w:rStyle w:val="IndexLink"/>
              </w:rPr>
              <w:t>Note per i test post-modifica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200"/>
        <w:jc w:val="left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0081_2049021629"/>
      <w:bookmarkStart w:id="1" w:name="X322cd66ea67d914d6bfa2372f9425c17befdcb5"/>
      <w:bookmarkEnd w:id="0"/>
      <w:r>
        <w:rPr/>
        <w:t>Specifica dei casi di test pre-modifica — automazioni, notifiche e SSE</w:t>
      </w:r>
    </w:p>
    <w:p>
      <w:pPr>
        <w:pStyle w:val="Heading2"/>
        <w:rPr/>
      </w:pPr>
      <w:bookmarkStart w:id="2" w:name="__RefHeading___Toc10083_2049021629"/>
      <w:bookmarkStart w:id="3" w:name="scopo"/>
      <w:bookmarkEnd w:id="2"/>
      <w:r>
        <w:rPr/>
        <w:t>Scopo</w:t>
      </w:r>
    </w:p>
    <w:p>
      <w:pPr>
        <w:pStyle w:val="FirstParagraph"/>
        <w:rPr/>
      </w:pPr>
      <w:r>
        <w:rPr/>
        <w:t>Questa specifica fotografa il comportamento originale dell’area assegnata a Renato prima degli interventi di Fase 4 della CR-BF-01. I casi verificano automazioni, notifiche e il contratto del canale Server-Sent Events dei posti.</w:t>
      </w:r>
    </w:p>
    <w:p>
      <w:pPr>
        <w:pStyle w:val="BodyText"/>
        <w:rPr/>
      </w:pPr>
      <w:bookmarkStart w:id="4" w:name="scopo"/>
      <w:r>
        <w:rPr/>
        <w:t>I casi non dimostrano ancora criteri di accettazione della change request: costituiscono la baseline di regressione da mantenere o aggiornare in modo esplicito nelle fasi successive.</w:t>
      </w:r>
      <w:bookmarkEnd w:id="4"/>
    </w:p>
    <w:p>
      <w:pPr>
        <w:pStyle w:val="Heading2"/>
        <w:rPr/>
      </w:pPr>
      <w:bookmarkStart w:id="5" w:name="__RefHeading___Toc10085_2049021629"/>
      <w:bookmarkStart w:id="6" w:name="convenzione-degli-identificativi"/>
      <w:bookmarkEnd w:id="5"/>
      <w:r>
        <w:rPr/>
        <w:t>Convenzione degli identificativi</w:t>
      </w:r>
    </w:p>
    <w:p>
      <w:pPr>
        <w:pStyle w:val="FirstParagraph"/>
        <w:rPr/>
      </w:pPr>
      <w:r>
        <w:rPr/>
        <w:t>Gli identificativi sono stabili e divisi per area per evitare collisioni con le suite degli altri componenti: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PRE-AUT-nnn</w:t>
      </w:r>
      <w:r>
        <w:rPr/>
        <w:t>: automazioni periodiche;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PRE-NOT-nnn</w:t>
      </w:r>
      <w:r>
        <w:rPr/>
        <w:t>: notifiche persistenti e relativa API;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PRE-SSE-nnn</w:t>
      </w:r>
      <w:r>
        <w:rPr/>
        <w:t>: contratto realtime SSE.</w:t>
      </w:r>
    </w:p>
    <w:p>
      <w:pPr>
        <w:pStyle w:val="FirstParagraph"/>
        <w:rPr/>
      </w:pPr>
      <w:bookmarkStart w:id="7" w:name="convenzione-degli-identificativi"/>
      <w:r>
        <w:rPr/>
        <w:t>Ogni ID compare sia in questo documento sia nel nome del corrispondente test Vitest.</w:t>
      </w:r>
      <w:bookmarkEnd w:id="7"/>
    </w:p>
    <w:p>
      <w:pPr>
        <w:pStyle w:val="Heading2"/>
        <w:rPr/>
      </w:pPr>
      <w:bookmarkStart w:id="8" w:name="__RefHeading___Toc10087_2049021629"/>
      <w:bookmarkStart w:id="9" w:name="ambiente-e-dati"/>
      <w:bookmarkEnd w:id="8"/>
      <w:r>
        <w:rPr/>
        <w:t>Ambiente e dati</w:t>
      </w:r>
    </w:p>
    <w:p>
      <w:pPr>
        <w:pStyle w:val="Compact"/>
        <w:numPr>
          <w:ilvl w:val="0"/>
          <w:numId w:val="18"/>
        </w:numPr>
        <w:rPr/>
      </w:pPr>
      <w:r>
        <w:rPr/>
        <w:t xml:space="preserve">PostgreSQL 16 reale, isolato tramite il servizio </w:t>
      </w:r>
      <w:r>
        <w:rPr>
          <w:rStyle w:val="VerbatimChar"/>
        </w:rPr>
        <w:t>postgres-test</w:t>
      </w:r>
      <w:r>
        <w:rPr/>
        <w:t xml:space="preserve"> di Docker Compose;</w:t>
      </w:r>
    </w:p>
    <w:p>
      <w:pPr>
        <w:pStyle w:val="Compact"/>
        <w:numPr>
          <w:ilvl w:val="0"/>
          <w:numId w:val="19"/>
        </w:numPr>
        <w:rPr/>
      </w:pPr>
      <w:r>
        <w:rPr/>
        <w:t>URL verificato prima di ogni sincronizzazione: il nome del database deve identificarlo esplicitamente come database di test;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schema Prisma corrente applicato con </w:t>
      </w:r>
      <w:r>
        <w:rPr>
          <w:rStyle w:val="VerbatimChar"/>
        </w:rPr>
        <w:t>prisma db push</w:t>
      </w:r>
      <w:r>
        <w:rPr/>
        <w:t xml:space="preserve"> esclusivamente sul DB di test, anche quando la CI ha inizialmente applicato le sole migrazioni versionate;</w:t>
      </w:r>
    </w:p>
    <w:p>
      <w:pPr>
        <w:pStyle w:val="Compact"/>
        <w:numPr>
          <w:ilvl w:val="0"/>
          <w:numId w:val="21"/>
        </w:numPr>
        <w:rPr/>
      </w:pPr>
      <w:r>
        <w:rPr/>
        <w:t>database ripulito prima di ogni caso di integrazione;</w:t>
      </w:r>
    </w:p>
    <w:p>
      <w:pPr>
        <w:pStyle w:val="Compact"/>
        <w:numPr>
          <w:ilvl w:val="0"/>
          <w:numId w:val="22"/>
        </w:numPr>
        <w:rPr/>
      </w:pPr>
      <w:r>
        <w:rPr/>
        <w:t>date e orari costruiti rispetto all’istante di esecuzione per rendere riproducibili promemoria e no-show;</w:t>
      </w:r>
    </w:p>
    <w:p>
      <w:pPr>
        <w:pStyle w:val="Compact"/>
        <w:numPr>
          <w:ilvl w:val="0"/>
          <w:numId w:val="23"/>
        </w:numPr>
        <w:rPr/>
      </w:pPr>
      <w:bookmarkStart w:id="10" w:name="ambiente-e-dati"/>
      <w:r>
        <w:rPr/>
        <w:t>test SSE eseguiti in ambiente Node, senza browser o connessioni di rete.</w:t>
      </w:r>
      <w:bookmarkEnd w:id="10"/>
    </w:p>
    <w:p>
      <w:pPr>
        <w:pStyle w:val="Heading2"/>
        <w:rPr/>
      </w:pPr>
      <w:bookmarkStart w:id="11" w:name="__RefHeading___Toc10089_2049021629"/>
      <w:bookmarkEnd w:id="11"/>
      <w:r>
        <w:rPr/>
        <w:t>Casi di test</w:t>
      </w:r>
    </w:p>
    <w:p>
      <w:pPr>
        <w:pStyle w:val="Heading3"/>
        <w:rPr/>
      </w:pPr>
      <w:r>
        <w:rPr/>
        <w:t>Automazioni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3"/>
        <w:gridCol w:w="2353"/>
        <w:gridCol w:w="2353"/>
      </w:tblGrid>
      <w:tr>
        <w:trPr>
          <w:tblHeader w:val="true"/>
        </w:trPr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Scenario e precondizioni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Risultato atteso sulla baseline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PRE-AUT-001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Prenotazione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 inizio tra 15 e 20 minuti e nessun promemoria già inviato.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Eseguire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sendCheckInReminders()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Una notifica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CHECK_IN_REMINDER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non letta, con link alla prenotazione e label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Fai check-in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viene creato anche un log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AUTOMATION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PRE-AUT-002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Stesse condizioni di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Eseguire due volte il promemoria nello stesso giorno.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La prima esecuzione invia una notifica, la seconda zero; nel DB rimane un solo promemoria.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PRE-AUT-003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Prenotazione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iniziata da oltre 15 minuti, senza check-in, con posto occupato.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Eseguire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releaseNoShowReservations()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Stato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NO_SHOW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posto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DISPONIBILE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notifica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ALERT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log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NO_SHOW_AUTO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 riferimenti a prenotazione, utente e posto.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PRE-AUT-004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Prenotazione già in stato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SCADUTA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con orario passato.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Eseguire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releaseNoShowReservations()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Nessuna prenotazione elaborata: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SCADUTA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resta invariato e non vengono creati notifiche o log. Il sistema originale non produce automaticamente questo stato.</w:t>
            </w:r>
            <w:bookmarkStart w:id="12" w:name="automazioni"/>
            <w:bookmarkEnd w:id="12"/>
          </w:p>
        </w:tc>
      </w:tr>
    </w:tbl>
    <w:p>
      <w:pPr>
        <w:pStyle w:val="Heading3"/>
        <w:rPr/>
      </w:pPr>
      <w:r>
        <w:rPr/>
        <w:t>Notifiche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3"/>
        <w:gridCol w:w="2353"/>
        <w:gridCol w:w="2353"/>
      </w:tblGrid>
      <w:tr>
        <w:trPr>
          <w:tblHeader w:val="true"/>
        </w:trPr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Scenario e precondizioni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Risultato atteso sulla baseline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PRE-NOT-001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Un utente possiede una prenotazione recente nella stessa sala del posto appena liberato.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Eseguire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notifyAvailableSeat()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L’utente riceve una notifica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INFO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non letta, con action URL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/prenota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PRE-NOT-002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L’utente possiede una notifica letta e una non letta.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Chiamare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GET /api/notifiche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letta=false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limit=1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offset=0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HTTP 200; risposta con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success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lista filtrata,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count=1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totale=2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nonLette=1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</w:tbl>
    <w:p>
      <w:pPr>
        <w:pStyle w:val="Heading3"/>
        <w:rPr/>
      </w:pPr>
      <w:r>
        <w:rPr/>
        <w:t>Canale SSE dei posti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3"/>
        <w:gridCol w:w="2353"/>
        <w:gridCol w:w="2353"/>
      </w:tblGrid>
      <w:tr>
        <w:trPr>
          <w:tblHeader w:val="true"/>
        </w:trPr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Scenario e precondizioni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Risultato atteso sulla baseline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PRE-SSE-001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Nessuna precondizione applicativa.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Chiamare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GET /api/sse/posti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leggere il primo chunk.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HTTP 200, content type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text/event-stream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cache disabilitata, connessione keep-alive, buffering nginx disabilitato e commento iniziale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: connected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PRE-SSE-002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Client sui canali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user-1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wildcard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*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Emettere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posto-update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sul canale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Ricevono l’evento soltanto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wildcard; il formato è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event: ...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seguito da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data: &lt;JSON&gt;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doppio newline.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PRE-SSE-003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Emitter disponibile.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Chiamare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emitPostoUpdate()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 tutti i campi.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Evento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posto-update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sul canale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postoId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stato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numero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salaId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salaNome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timestamp ISO.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PRE-SSE-004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Stream aperto sul canale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Cancellare il reader dello stream.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client viene rimosso dal registro dell’emitter e il conteggio torna al valore iniziale.</w:t>
            </w:r>
            <w:bookmarkStart w:id="13" w:name="casi-di-test"/>
            <w:bookmarkEnd w:id="13"/>
          </w:p>
        </w:tc>
      </w:tr>
    </w:tbl>
    <w:p>
      <w:pPr>
        <w:pStyle w:val="Heading2"/>
        <w:rPr/>
      </w:pPr>
      <w:bookmarkStart w:id="14" w:name="__RefHeading___Toc10091_2049021629"/>
      <w:bookmarkEnd w:id="14"/>
      <w:r>
        <w:rPr/>
        <w:t>Tracciabilità verso i test eseguibili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Area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File Vitest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Automazioni e notifiche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tests/pre-modifica/automation-notifications.test.ts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SSE posti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tests/pre-modifica/sse-posti.test.ts</w:t>
            </w:r>
          </w:p>
        </w:tc>
      </w:tr>
    </w:tbl>
    <w:p>
      <w:pPr>
        <w:pStyle w:val="Heading2"/>
        <w:rPr/>
      </w:pPr>
      <w:bookmarkStart w:id="15" w:name="__RefHeading___Toc10093_2049021629"/>
      <w:bookmarkEnd w:id="15"/>
      <w:r>
        <w:rPr/>
        <w:t>Esecuzione</w:t>
      </w:r>
    </w:p>
    <w:p>
      <w:pPr>
        <w:pStyle w:val="SourceCode"/>
        <w:rPr/>
      </w:pPr>
      <w:r>
        <w:rPr>
          <w:rStyle w:val="ExtensionTok"/>
        </w:rPr>
        <w:t>npm</w:t>
      </w:r>
      <w:r>
        <w:rPr>
          <w:rStyle w:val="NormalTok"/>
        </w:rPr>
        <w:t xml:space="preserve"> run test:db:prepare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test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test:db:down</w:t>
      </w:r>
    </w:p>
    <w:p>
      <w:pPr>
        <w:pStyle w:val="FirstParagraph"/>
        <w:rPr/>
      </w:pPr>
      <w:r>
        <w:rPr/>
        <w:t>La preparazione rifiuta URL che non identificano esplicitamente un database di test. Il database è effimero e viene rimosso al termine della verifica.</w:t>
      </w:r>
    </w:p>
    <w:p>
      <w:pPr>
        <w:pStyle w:val="Normal"/>
        <w:rPr/>
      </w:pPr>
      <w:bookmarkStart w:id="16" w:name="X322cd66ea67d914d6bfa2372f9425c17befdcb5"/>
      <w:r>
        <w:rPr/>
        <mc:AlternateContent>
          <mc:Choice Requires="wps">
            <w:drawing>
              <wp:inline distT="0" distB="0" distL="0" distR="0">
                <wp:extent cx="597598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76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70.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1"/>
        <w:rPr/>
      </w:pPr>
      <w:bookmarkStart w:id="17" w:name="__RefHeading___Toc10095_2049021629"/>
      <w:bookmarkStart w:id="18" w:name="X608fff5feebc4a9e33c84493d2ad94cb2cd424a"/>
      <w:bookmarkEnd w:id="17"/>
      <w:r>
        <w:rPr/>
        <w:t>Specifica dei casi di test pre-modifica — area prenotazioni</w:t>
      </w:r>
    </w:p>
    <w:p>
      <w:pPr>
        <w:pStyle w:val="Heading2"/>
        <w:rPr/>
      </w:pPr>
      <w:bookmarkStart w:id="19" w:name="__RefHeading___Toc10097_2049021629"/>
      <w:bookmarkStart w:id="20" w:name="scopo-e-baseline"/>
      <w:bookmarkEnd w:id="19"/>
      <w:r>
        <w:rPr/>
        <w:t>Scopo e baseline</w:t>
      </w:r>
    </w:p>
    <w:p>
      <w:pPr>
        <w:pStyle w:val="FirstParagraph"/>
        <w:rPr/>
      </w:pPr>
      <w:r>
        <w:rPr/>
        <w:t>Questo documento descrive il comportamento dell’area prenotazioni prima delle modifiche di CR-BF-01. È il primo deliverable di testing richiesto dal corso e non dimostra ancora alcun criterio di accettazione della change request.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Task: </w:t>
      </w:r>
      <w:hyperlink r:id="rId2">
        <w:r>
          <w:rPr>
            <w:rStyle w:val="Hyperlink"/>
          </w:rPr>
          <w:t>BIB-19 — Specifica casi di test pre-modifica - area prenotazioni</w:t>
        </w:r>
      </w:hyperlink>
    </w:p>
    <w:p>
      <w:pPr>
        <w:pStyle w:val="Compact"/>
        <w:numPr>
          <w:ilvl w:val="0"/>
          <w:numId w:val="25"/>
        </w:numPr>
        <w:rPr/>
      </w:pPr>
      <w:r>
        <w:rPr/>
        <w:t xml:space="preserve">Baseline funzionale: tag Git </w:t>
      </w:r>
      <w:r>
        <w:rPr>
          <w:rStyle w:val="VerbatimChar"/>
        </w:rPr>
        <w:t>baseline-pre-cr-bf-01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Riferimento di esecuzione: </w:t>
      </w:r>
      <w:r>
        <w:rPr>
          <w:rStyle w:val="VerbatimChar"/>
        </w:rPr>
        <w:t>main</w:t>
      </w:r>
      <w:r>
        <w:rPr/>
        <w:t xml:space="preserve"> al commit </w:t>
      </w:r>
      <w:r>
        <w:rPr>
          <w:rStyle w:val="VerbatimChar"/>
        </w:rPr>
        <w:t>7469969</w:t>
      </w:r>
      <w:r>
        <w:rPr/>
        <w:t>, che aggiunge l’infrastruttura di test senza modificare i flussi qui caratterizzati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Implementazione eseguibile: </w:t>
      </w:r>
      <w:r>
        <w:rPr>
          <w:rStyle w:val="VerbatimChar"/>
        </w:rPr>
        <w:t>tests/pre-modifica/prenotazioni.test.ts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Comando: </w:t>
      </w:r>
      <w:r>
        <w:rPr>
          <w:rStyle w:val="VerbatimChar"/>
        </w:rPr>
        <w:t>npm test</w:t>
      </w:r>
    </w:p>
    <w:p>
      <w:pPr>
        <w:pStyle w:val="FirstParagraph"/>
        <w:rPr/>
      </w:pPr>
      <w:bookmarkStart w:id="21" w:name="scopo-e-baseline"/>
      <w:r>
        <w:rPr/>
        <w:t>I test invocano direttamente i route handler Next.js e isolano l’accesso a Prisma con mock. In questo modo fissano il contratto applicativo della baseline, sono deterministici e non condividono dati con le altre suite pre-modifica.</w:t>
      </w:r>
      <w:bookmarkEnd w:id="21"/>
    </w:p>
    <w:p>
      <w:pPr>
        <w:pStyle w:val="Heading2"/>
        <w:rPr/>
      </w:pPr>
      <w:bookmarkStart w:id="22" w:name="__RefHeading___Toc10099_2049021629"/>
      <w:bookmarkStart w:id="23" w:name="dati-e-convenzioni-comuni"/>
      <w:bookmarkEnd w:id="22"/>
      <w:r>
        <w:rPr/>
        <w:t>Dati e convenzioni comuni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Utente studente: </w:t>
      </w:r>
      <w:r>
        <w:rPr>
          <w:rStyle w:val="VerbatimChar"/>
        </w:rPr>
        <w:t>pre-user-1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Posto: </w:t>
      </w:r>
      <w:r>
        <w:rPr>
          <w:rStyle w:val="VerbatimChar"/>
        </w:rPr>
        <w:t>pre-posto-a1</w:t>
      </w:r>
      <w:r>
        <w:rPr/>
        <w:t xml:space="preserve">, numero </w:t>
      </w:r>
      <w:r>
        <w:rPr>
          <w:rStyle w:val="VerbatimChar"/>
        </w:rPr>
        <w:t>A1</w:t>
      </w:r>
      <w:r>
        <w:rPr/>
        <w:t xml:space="preserve">, stato </w:t>
      </w:r>
      <w:r>
        <w:rPr>
          <w:rStyle w:val="VerbatimChar"/>
        </w:rPr>
        <w:t>DISPONIBILE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Sala: aperta dalle </w:t>
      </w:r>
      <w:r>
        <w:rPr>
          <w:rStyle w:val="VerbatimChar"/>
        </w:rPr>
        <w:t>08:00</w:t>
      </w:r>
      <w:r>
        <w:rPr/>
        <w:t xml:space="preserve"> alle </w:t>
      </w:r>
      <w:r>
        <w:rPr>
          <w:rStyle w:val="VerbatimChar"/>
        </w:rPr>
        <w:t>18:00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Data ordinaria: </w:t>
      </w:r>
      <w:r>
        <w:rPr>
          <w:rStyle w:val="VerbatimChar"/>
        </w:rPr>
        <w:t>2030-01-15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Stato iniziale della prenotazione, salvo diversa indicazione: </w:t>
      </w:r>
      <w:r>
        <w:rPr>
          <w:rStyle w:val="VerbatimChar"/>
        </w:rPr>
        <w:t>CONFERMATA</w:t>
      </w:r>
    </w:p>
    <w:p>
      <w:pPr>
        <w:pStyle w:val="Compact"/>
        <w:numPr>
          <w:ilvl w:val="0"/>
          <w:numId w:val="34"/>
        </w:numPr>
        <w:rPr/>
      </w:pPr>
      <w:r>
        <w:rPr/>
        <w:t>Una risposta non deve produrre scritture quando il caso è rifiutato.</w:t>
      </w:r>
    </w:p>
    <w:p>
      <w:pPr>
        <w:pStyle w:val="FirstParagraph"/>
        <w:rPr/>
      </w:pPr>
      <w:r>
        <w:rPr/>
        <w:t xml:space="preserve">Le date </w:t>
      </w:r>
      <w:r>
        <w:rPr>
          <w:rStyle w:val="VerbatimChar"/>
        </w:rPr>
        <w:t>@db.Date</w:t>
      </w:r>
      <w:r>
        <w:rPr/>
        <w:t xml:space="preserve"> sono rappresentate da Prisma con la data effettiva, mentre gli orari </w:t>
      </w:r>
      <w:r>
        <w:rPr>
          <w:rStyle w:val="VerbatimChar"/>
        </w:rPr>
        <w:t>@db.Time</w:t>
      </w:r>
      <w:r>
        <w:rPr/>
        <w:t xml:space="preserve"> hanno data convenzionale </w:t>
      </w:r>
      <w:r>
        <w:rPr>
          <w:rStyle w:val="VerbatimChar"/>
        </w:rPr>
        <w:t>1970-01-01</w:t>
      </w:r>
      <w:r>
        <w:rPr/>
        <w:t>. I casi TC-PRE-007 e TC-PRE-010 conservano esplicitamente questa rappresentazione perché fanno emergere due anomalie della baseline.</w:t>
      </w:r>
      <w:bookmarkEnd w:id="23"/>
    </w:p>
    <w:p>
      <w:pPr>
        <w:pStyle w:val="Heading2"/>
        <w:rPr/>
      </w:pPr>
      <w:bookmarkStart w:id="24" w:name="__RefHeading___Toc10101_2049021629"/>
      <w:bookmarkEnd w:id="24"/>
      <w:r>
        <w:rPr/>
        <w:t>Matrice di copertura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3"/>
        <w:gridCol w:w="2353"/>
        <w:gridCol w:w="2353"/>
      </w:tblGrid>
      <w:tr>
        <w:trPr>
          <w:tblHeader w:val="true"/>
        </w:trPr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Funzione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Tipo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 baseline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TC-PRE-001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Creazione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Positivo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Prenotazione confermata, log e notifica creati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TC-PRE-002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Creazione / validazione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Negativo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Campi obbligatori mancanti rifiutati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TC-PRE-003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Validazione orari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Negativo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Intervallo fuori apertura rifiutato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TC-PRE-004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Validazione orari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Caratterizzazione difetto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Intervallo con fine precedente all’inizio accettato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TC-PRE-005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Creazione / sovrapposizione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Negativo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Posto già occupato nello slot rifiutato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TC-PRE-006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Positivo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Stato aggiornato e log creato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TC-PRE-007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Check-in dedicato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Caratterizzazione difetto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Check-in valido sulla data della prenotazione considerato scaduto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TC-PRE-008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Check-in legacy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Positivo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Stato prenotazione e posto aggiornati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TC-PRE-009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Estensione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Negativo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Estensione sovrapposta rifiutata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TC-PRE-010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Estensione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Caratterizzazione difetto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Estensione libera rifiutata per durata calcolata tra date incompatibili</w:t>
            </w:r>
            <w:bookmarkStart w:id="25" w:name="matrice-di-copertura"/>
            <w:bookmarkEnd w:id="25"/>
          </w:p>
        </w:tc>
      </w:tr>
    </w:tbl>
    <w:p>
      <w:pPr>
        <w:pStyle w:val="Heading2"/>
        <w:rPr/>
      </w:pPr>
      <w:bookmarkStart w:id="26" w:name="__RefHeading___Toc10103_2049021629"/>
      <w:bookmarkEnd w:id="26"/>
      <w:r>
        <w:rPr/>
        <w:t>Casi di test</w:t>
      </w:r>
    </w:p>
    <w:p>
      <w:pPr>
        <w:pStyle w:val="Heading3"/>
        <w:rPr/>
      </w:pPr>
      <w:bookmarkStart w:id="27" w:name="tc-pre-001-creazione-valida"/>
      <w:r>
        <w:rPr/>
        <w:t>TC-PRE-001 — Creazione valida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L’utente, il posto e la sala esistono. L’utente e il posto non hanno prenotazioni attive sovrapposte.</w:t>
      </w:r>
    </w:p>
    <w:p>
      <w:pPr>
        <w:pStyle w:val="BodyText"/>
        <w:rPr/>
      </w:pPr>
      <w:r>
        <w:rPr>
          <w:b/>
          <w:bCs/>
        </w:rPr>
        <w:t>Passi.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Inviare </w:t>
      </w:r>
      <w:r>
        <w:rPr>
          <w:rStyle w:val="VerbatimChar"/>
        </w:rPr>
        <w:t>POST /api/prenotazioni</w:t>
      </w:r>
      <w:r>
        <w:rPr/>
        <w:t xml:space="preserve"> con utente e posto validi, data </w:t>
      </w:r>
      <w:r>
        <w:rPr>
          <w:rStyle w:val="VerbatimChar"/>
        </w:rPr>
        <w:t>2030-01-15</w:t>
      </w:r>
      <w:r>
        <w:rPr/>
        <w:t xml:space="preserve">, intervallo </w:t>
      </w:r>
      <w:r>
        <w:rPr>
          <w:rStyle w:val="VerbatimChar"/>
        </w:rPr>
        <w:t>09:00–11:00</w:t>
      </w:r>
      <w:r>
        <w:rPr/>
        <w:t>.</w:t>
      </w:r>
    </w:p>
    <w:p>
      <w:pPr>
        <w:pStyle w:val="Compact"/>
        <w:numPr>
          <w:ilvl w:val="0"/>
          <w:numId w:val="5"/>
        </w:numPr>
        <w:rPr/>
      </w:pPr>
      <w:r>
        <w:rPr/>
        <w:t>Ispezionare risposta e scritture richieste al livello di persistenza.</w:t>
      </w:r>
    </w:p>
    <w:p>
      <w:pPr>
        <w:pStyle w:val="FirstParagraph"/>
        <w:rPr/>
      </w:pPr>
      <w:r>
        <w:rPr>
          <w:b/>
          <w:bCs/>
        </w:rPr>
        <w:t>Risultato atteso.</w:t>
      </w:r>
      <w:r>
        <w:rPr/>
        <w:t xml:space="preserve"> HTTP 201; prenotazione in stato </w:t>
      </w:r>
      <w:r>
        <w:rPr>
          <w:rStyle w:val="VerbatimChar"/>
        </w:rPr>
        <w:t>CONFERMATA</w:t>
      </w:r>
      <w:r>
        <w:rPr/>
        <w:t xml:space="preserve">; creazione di un evento </w:t>
      </w:r>
      <w:r>
        <w:rPr>
          <w:rStyle w:val="VerbatimChar"/>
        </w:rPr>
        <w:t>PRENOTAZIONE_CREATA</w:t>
      </w:r>
      <w:r>
        <w:rPr/>
        <w:t xml:space="preserve"> e di una notifica </w:t>
      </w:r>
      <w:r>
        <w:rPr>
          <w:rStyle w:val="VerbatimChar"/>
        </w:rPr>
        <w:t>PRENOTAZIONE</w:t>
      </w:r>
      <w:r>
        <w:rPr/>
        <w:t>.</w:t>
      </w:r>
      <w:bookmarkEnd w:id="27"/>
    </w:p>
    <w:p>
      <w:pPr>
        <w:pStyle w:val="Heading3"/>
        <w:rPr/>
      </w:pPr>
      <w:bookmarkStart w:id="28" w:name="tc-pre-002-campo-obbligatorio-mancante"/>
      <w:r>
        <w:rPr/>
        <w:t>TC-PRE-002 — Campo obbligatorio mancante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Nessuna.</w:t>
      </w:r>
    </w:p>
    <w:p>
      <w:pPr>
        <w:pStyle w:val="BodyText"/>
        <w:rPr/>
      </w:pPr>
      <w:r>
        <w:rPr>
          <w:b/>
          <w:bCs/>
        </w:rPr>
        <w:t>Passi.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Inviare </w:t>
      </w:r>
      <w:r>
        <w:rPr>
          <w:rStyle w:val="VerbatimChar"/>
        </w:rPr>
        <w:t>POST /api/prenotazioni</w:t>
      </w:r>
      <w:r>
        <w:rPr/>
        <w:t xml:space="preserve"> senza </w:t>
      </w:r>
      <w:r>
        <w:rPr>
          <w:rStyle w:val="VerbatimChar"/>
        </w:rPr>
        <w:t>oraFine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Risultato atteso.</w:t>
      </w:r>
      <w:r>
        <w:rPr/>
        <w:t xml:space="preserve"> HTTP 400 con indicazione dei campi obbligatori; nessuna prenotazione creata.</w:t>
      </w:r>
      <w:bookmarkEnd w:id="28"/>
    </w:p>
    <w:p>
      <w:pPr>
        <w:pStyle w:val="Heading3"/>
        <w:rPr/>
      </w:pPr>
      <w:bookmarkStart w:id="29" w:name="tc-pre-003-intervallo-fuori-apertura"/>
      <w:r>
        <w:rPr/>
        <w:t>TC-PRE-003 — Intervallo fuori apertura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Sala aperta </w:t>
      </w:r>
      <w:r>
        <w:rPr>
          <w:rStyle w:val="VerbatimChar"/>
        </w:rPr>
        <w:t>08:00–18:00</w:t>
      </w:r>
      <w:r>
        <w:rPr/>
        <w:t>; utente e posto esistenti e liberi.</w:t>
      </w:r>
    </w:p>
    <w:p>
      <w:pPr>
        <w:pStyle w:val="BodyText"/>
        <w:rPr/>
      </w:pPr>
      <w:r>
        <w:rPr>
          <w:b/>
          <w:bCs/>
        </w:rPr>
        <w:t>Passi.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Inviare </w:t>
      </w:r>
      <w:r>
        <w:rPr>
          <w:rStyle w:val="VerbatimChar"/>
        </w:rPr>
        <w:t>POST /api/prenotazioni</w:t>
      </w:r>
      <w:r>
        <w:rPr/>
        <w:t xml:space="preserve"> per </w:t>
      </w:r>
      <w:r>
        <w:rPr>
          <w:rStyle w:val="VerbatimChar"/>
        </w:rPr>
        <w:t>07:30–09:00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Risultato atteso.</w:t>
      </w:r>
      <w:r>
        <w:rPr/>
        <w:t xml:space="preserve"> HTTP 400 con gli orari della sala; nessuna prenotazione creata.</w:t>
      </w:r>
      <w:bookmarkEnd w:id="29"/>
    </w:p>
    <w:p>
      <w:pPr>
        <w:pStyle w:val="Heading3"/>
        <w:rPr/>
      </w:pPr>
      <w:bookmarkStart w:id="30" w:name="tc-pre-004-intervallo-invertito"/>
      <w:r>
        <w:rPr/>
        <w:t>TC-PRE-004 — Intervallo invertito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Utente e posto esistenti e liberi.</w:t>
      </w:r>
    </w:p>
    <w:p>
      <w:pPr>
        <w:pStyle w:val="BodyText"/>
        <w:rPr/>
      </w:pPr>
      <w:r>
        <w:rPr>
          <w:b/>
          <w:bCs/>
        </w:rPr>
        <w:t>Passi.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Inviare </w:t>
      </w:r>
      <w:r>
        <w:rPr>
          <w:rStyle w:val="VerbatimChar"/>
        </w:rPr>
        <w:t>POST /api/prenotazioni</w:t>
      </w:r>
      <w:r>
        <w:rPr/>
        <w:t xml:space="preserve"> per </w:t>
      </w:r>
      <w:r>
        <w:rPr>
          <w:rStyle w:val="VerbatimChar"/>
        </w:rPr>
        <w:t>11:00–09:00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Risultato atteso sulla baseline.</w:t>
      </w:r>
      <w:r>
        <w:rPr/>
        <w:t xml:space="preserve"> HTTP 201. Il sistema non verifica che </w:t>
      </w:r>
      <w:r>
        <w:rPr>
          <w:rStyle w:val="VerbatimChar"/>
        </w:rPr>
        <w:t>oraFine</w:t>
      </w:r>
      <w:r>
        <w:rPr/>
        <w:t xml:space="preserve"> sia successiva a </w:t>
      </w:r>
      <w:r>
        <w:rPr>
          <w:rStyle w:val="VerbatimChar"/>
        </w:rPr>
        <w:t>oraInizio</w:t>
      </w:r>
      <w:r>
        <w:rPr/>
        <w:t>. Il caso è una caratterizzazione di un difetto, non il comportamento desiderato dalla CR.</w:t>
      </w:r>
      <w:bookmarkEnd w:id="30"/>
    </w:p>
    <w:p>
      <w:pPr>
        <w:pStyle w:val="Heading3"/>
        <w:rPr/>
      </w:pPr>
      <w:bookmarkStart w:id="31" w:name="tc-pre-005-sovrapposizione-sul-posto"/>
      <w:r>
        <w:rPr/>
        <w:t>TC-PRE-005 — Sovrapposizione sul posto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Il posto A1 ha una prenotazione attiva </w:t>
      </w:r>
      <w:r>
        <w:rPr>
          <w:rStyle w:val="VerbatimChar"/>
        </w:rPr>
        <w:t>10:00–12:00</w:t>
      </w:r>
      <w:r>
        <w:rPr/>
        <w:t>; il nuovo utente non ha sovrapposizioni personali.</w:t>
      </w:r>
    </w:p>
    <w:p>
      <w:pPr>
        <w:pStyle w:val="BodyText"/>
        <w:rPr/>
      </w:pPr>
      <w:r>
        <w:rPr>
          <w:b/>
          <w:bCs/>
        </w:rPr>
        <w:t>Passi.</w:t>
      </w:r>
    </w:p>
    <w:p>
      <w:pPr>
        <w:pStyle w:val="Compact"/>
        <w:numPr>
          <w:ilvl w:val="0"/>
          <w:numId w:val="39"/>
        </w:numPr>
        <w:rPr/>
      </w:pPr>
      <w:r>
        <w:rPr/>
        <w:t xml:space="preserve">Inviare </w:t>
      </w:r>
      <w:r>
        <w:rPr>
          <w:rStyle w:val="VerbatimChar"/>
        </w:rPr>
        <w:t>POST /api/prenotazioni</w:t>
      </w:r>
      <w:r>
        <w:rPr/>
        <w:t xml:space="preserve"> sullo stesso posto per </w:t>
      </w:r>
      <w:r>
        <w:rPr>
          <w:rStyle w:val="VerbatimChar"/>
        </w:rPr>
        <w:t>09:00–11:00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Risultato atteso.</w:t>
      </w:r>
      <w:r>
        <w:rPr/>
        <w:t xml:space="preserve"> HTTP 409 con indicazione che il posto è già prenotato; nessuna nuova prenotazione.</w:t>
      </w:r>
      <w:bookmarkEnd w:id="31"/>
    </w:p>
    <w:p>
      <w:pPr>
        <w:pStyle w:val="Heading3"/>
        <w:rPr/>
      </w:pPr>
      <w:bookmarkStart w:id="32" w:name="tc-pre-006-cancellazione-logica"/>
      <w:r>
        <w:rPr/>
        <w:t>TC-PRE-006 — Cancellazione logica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Prenotazione esistente in stato </w:t>
      </w:r>
      <w:r>
        <w:rPr>
          <w:rStyle w:val="VerbatimChar"/>
        </w:rPr>
        <w:t>CONFERMATA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Passi.</w:t>
      </w:r>
    </w:p>
    <w:p>
      <w:pPr>
        <w:pStyle w:val="Compact"/>
        <w:numPr>
          <w:ilvl w:val="0"/>
          <w:numId w:val="40"/>
        </w:numPr>
        <w:rPr/>
      </w:pPr>
      <w:r>
        <w:rPr/>
        <w:t xml:space="preserve">Inviare </w:t>
      </w:r>
      <w:r>
        <w:rPr>
          <w:rStyle w:val="VerbatimChar"/>
        </w:rPr>
        <w:t>PATCH /api/prenotazioni/{id}</w:t>
      </w:r>
      <w:r>
        <w:rPr/>
        <w:t xml:space="preserve"> con azione </w:t>
      </w:r>
      <w:r>
        <w:rPr>
          <w:rStyle w:val="VerbatimChar"/>
        </w:rPr>
        <w:t>cancella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Risultato atteso.</w:t>
      </w:r>
      <w:r>
        <w:rPr/>
        <w:t xml:space="preserve"> HTTP 200; stato aggiornato a </w:t>
      </w:r>
      <w:r>
        <w:rPr>
          <w:rStyle w:val="VerbatimChar"/>
        </w:rPr>
        <w:t>CANCELLATA</w:t>
      </w:r>
      <w:r>
        <w:rPr/>
        <w:t xml:space="preserve">; evento </w:t>
      </w:r>
      <w:r>
        <w:rPr>
          <w:rStyle w:val="VerbatimChar"/>
        </w:rPr>
        <w:t>PRENOTAZIONE_CANCELLATA</w:t>
      </w:r>
      <w:r>
        <w:rPr/>
        <w:t xml:space="preserve"> associato alla prenotazione.</w:t>
      </w:r>
      <w:bookmarkEnd w:id="32"/>
    </w:p>
    <w:p>
      <w:pPr>
        <w:pStyle w:val="Heading3"/>
        <w:rPr/>
      </w:pPr>
      <w:bookmarkStart w:id="33" w:name="Xad79c2b283f989052766eecac11ca382204a1d6"/>
      <w:r>
        <w:rPr/>
        <w:t>TC-PRE-007 — Check-in mediante endpoint dedicato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Sessione dell’intestatario; prenotazione </w:t>
      </w:r>
      <w:r>
        <w:rPr>
          <w:rStyle w:val="VerbatimChar"/>
        </w:rPr>
        <w:t>CONFERMATA</w:t>
      </w:r>
      <w:r>
        <w:rPr/>
        <w:t xml:space="preserve"> il </w:t>
      </w:r>
      <w:r>
        <w:rPr>
          <w:rStyle w:val="VerbatimChar"/>
        </w:rPr>
        <w:t>2030-01-15</w:t>
      </w:r>
      <w:r>
        <w:rPr/>
        <w:t xml:space="preserve"> alle </w:t>
      </w:r>
      <w:r>
        <w:rPr>
          <w:rStyle w:val="VerbatimChar"/>
        </w:rPr>
        <w:t>09:00</w:t>
      </w:r>
      <w:r>
        <w:rPr/>
        <w:t xml:space="preserve">; timestamp richiesto </w:t>
      </w:r>
      <w:r>
        <w:rPr>
          <w:rStyle w:val="VerbatimChar"/>
        </w:rPr>
        <w:t>08:50</w:t>
      </w:r>
      <w:r>
        <w:rPr/>
        <w:t>, dentro la finestra dichiarata di quindici minuti.</w:t>
      </w:r>
    </w:p>
    <w:p>
      <w:pPr>
        <w:pStyle w:val="BodyText"/>
        <w:rPr/>
      </w:pPr>
      <w:r>
        <w:rPr>
          <w:b/>
          <w:bCs/>
        </w:rPr>
        <w:t>Passi.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Inviare </w:t>
      </w:r>
      <w:r>
        <w:rPr>
          <w:rStyle w:val="VerbatimChar"/>
        </w:rPr>
        <w:t>POST /api/prenotazioni/{id}/check-in</w:t>
      </w:r>
      <w:r>
        <w:rPr/>
        <w:t xml:space="preserve"> con timestamp </w:t>
      </w:r>
      <w:r>
        <w:rPr>
          <w:rStyle w:val="VerbatimChar"/>
        </w:rPr>
        <w:t>2030-01-15T08:50:00.000Z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Risultato atteso sulla baseline.</w:t>
      </w:r>
      <w:r>
        <w:rPr/>
        <w:t xml:space="preserve"> HTTP 400, “Il periodo di check-in è scaduto”. L’endpoint confronta il timestamp completo con un campo </w:t>
      </w:r>
      <w:r>
        <w:rPr>
          <w:rStyle w:val="VerbatimChar"/>
        </w:rPr>
        <w:t>@db.Time</w:t>
      </w:r>
      <w:r>
        <w:rPr/>
        <w:t xml:space="preserve"> ancorato al 1970. Nessun aggiornamento. È un difetto caratterizzato.</w:t>
      </w:r>
      <w:bookmarkEnd w:id="33"/>
    </w:p>
    <w:p>
      <w:pPr>
        <w:pStyle w:val="Heading3"/>
        <w:rPr/>
      </w:pPr>
      <w:bookmarkStart w:id="34" w:name="X497750cfd9b61441b62c412a4094f8c08978c0d"/>
      <w:r>
        <w:rPr/>
        <w:t>TC-PRE-008 — Check-in mediante azione legacy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Prenotazione esistente in stato </w:t>
      </w:r>
      <w:r>
        <w:rPr>
          <w:rStyle w:val="VerbatimChar"/>
        </w:rPr>
        <w:t>CONFERMATA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Passi.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Inviare </w:t>
      </w:r>
      <w:r>
        <w:rPr>
          <w:rStyle w:val="VerbatimChar"/>
        </w:rPr>
        <w:t>PATCH /api/prenotazioni/{id}</w:t>
      </w:r>
      <w:r>
        <w:rPr/>
        <w:t xml:space="preserve"> con azione </w:t>
      </w:r>
      <w:r>
        <w:rPr>
          <w:rStyle w:val="VerbatimChar"/>
        </w:rPr>
        <w:t>check-in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Risultato atteso.</w:t>
      </w:r>
      <w:r>
        <w:rPr/>
        <w:t xml:space="preserve"> HTTP 200; prenotazione in </w:t>
      </w:r>
      <w:r>
        <w:rPr>
          <w:rStyle w:val="VerbatimChar"/>
        </w:rPr>
        <w:t>CHECK_IN</w:t>
      </w:r>
      <w:r>
        <w:rPr/>
        <w:t xml:space="preserve">; posto in </w:t>
      </w:r>
      <w:r>
        <w:rPr>
          <w:rStyle w:val="VerbatimChar"/>
        </w:rPr>
        <w:t>OCCUPATO</w:t>
      </w:r>
      <w:r>
        <w:rPr/>
        <w:t xml:space="preserve">; evento </w:t>
      </w:r>
      <w:r>
        <w:rPr>
          <w:rStyle w:val="VerbatimChar"/>
        </w:rPr>
        <w:t>CHECK_IN</w:t>
      </w:r>
      <w:r>
        <w:rPr/>
        <w:t xml:space="preserve"> creato.</w:t>
      </w:r>
      <w:bookmarkEnd w:id="34"/>
    </w:p>
    <w:p>
      <w:pPr>
        <w:pStyle w:val="Heading3"/>
        <w:rPr/>
      </w:pPr>
      <w:bookmarkStart w:id="35" w:name="tc-pre-009-estensione-in-conflitto"/>
      <w:r>
        <w:rPr/>
        <w:t>TC-PRE-009 — Estensione in conflitto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Prenotazione attiva </w:t>
      </w:r>
      <w:r>
        <w:rPr>
          <w:rStyle w:val="VerbatimChar"/>
        </w:rPr>
        <w:t>09:00–11:00</w:t>
      </w:r>
      <w:r>
        <w:rPr/>
        <w:t>; altra prenotazione attiva sullo stesso posto nello slot richiesto.</w:t>
      </w:r>
    </w:p>
    <w:p>
      <w:pPr>
        <w:pStyle w:val="BodyText"/>
        <w:rPr/>
      </w:pPr>
      <w:r>
        <w:rPr>
          <w:b/>
          <w:bCs/>
        </w:rPr>
        <w:t>Passi.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Inviare </w:t>
      </w:r>
      <w:r>
        <w:rPr>
          <w:rStyle w:val="VerbatimChar"/>
        </w:rPr>
        <w:t>POST /api/prenotazioni/{id}/estendi</w:t>
      </w:r>
      <w:r>
        <w:rPr/>
        <w:t xml:space="preserve"> con </w:t>
      </w:r>
      <w:r>
        <w:rPr>
          <w:rStyle w:val="VerbatimChar"/>
        </w:rPr>
        <w:t>nuovaOraFine: 13:00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Risultato atteso.</w:t>
      </w:r>
      <w:r>
        <w:rPr/>
        <w:t xml:space="preserve"> HTTP 409 con indicazione di indisponibilità; orario originale invariato.</w:t>
      </w:r>
      <w:bookmarkEnd w:id="35"/>
    </w:p>
    <w:p>
      <w:pPr>
        <w:pStyle w:val="Heading3"/>
        <w:rPr/>
      </w:pPr>
      <w:bookmarkStart w:id="36" w:name="X57fe8dca7fdce0067401ace414b10354bc3fb92"/>
      <w:r>
        <w:rPr/>
        <w:t>TC-PRE-010 — Estensione libera con rappresentazione Prisma reale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Prenotazione attiva del </w:t>
      </w:r>
      <w:r>
        <w:rPr>
          <w:rStyle w:val="VerbatimChar"/>
        </w:rPr>
        <w:t>2030-01-15</w:t>
      </w:r>
      <w:r>
        <w:rPr/>
        <w:t xml:space="preserve">, orari Prisma </w:t>
      </w:r>
      <w:r>
        <w:rPr>
          <w:rStyle w:val="VerbatimChar"/>
        </w:rPr>
        <w:t>09:00–11:00</w:t>
      </w:r>
      <w:r>
        <w:rPr/>
        <w:t xml:space="preserve"> ancorati al </w:t>
      </w:r>
      <w:r>
        <w:rPr>
          <w:rStyle w:val="VerbatimChar"/>
        </w:rPr>
        <w:t>1970-01-01</w:t>
      </w:r>
      <w:r>
        <w:rPr/>
        <w:t>; nessuna sovrapposizione.</w:t>
      </w:r>
    </w:p>
    <w:p>
      <w:pPr>
        <w:pStyle w:val="BodyText"/>
        <w:rPr/>
      </w:pPr>
      <w:r>
        <w:rPr>
          <w:b/>
          <w:bCs/>
        </w:rPr>
        <w:t>Passi.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Inviare </w:t>
      </w:r>
      <w:r>
        <w:rPr>
          <w:rStyle w:val="VerbatimChar"/>
        </w:rPr>
        <w:t>POST /api/prenotazioni/{id}/estendi</w:t>
      </w:r>
      <w:r>
        <w:rPr/>
        <w:t xml:space="preserve"> con </w:t>
      </w:r>
      <w:r>
        <w:rPr>
          <w:rStyle w:val="VerbatimChar"/>
        </w:rPr>
        <w:t>nuovaOraFine: 13:00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Risultato atteso sulla baseline.</w:t>
      </w:r>
      <w:r>
        <w:rPr/>
        <w:t xml:space="preserve"> HTTP 400 per durata superiore a otto ore; nessun aggiornamento. La durata usa la data reale per la nuova fine e il 1970 per l’inizio. È un difetto caratterizzato.</w:t>
      </w:r>
      <w:bookmarkEnd w:id="36"/>
    </w:p>
    <w:p>
      <w:pPr>
        <w:pStyle w:val="Heading2"/>
        <w:rPr/>
      </w:pPr>
      <w:bookmarkStart w:id="37" w:name="__RefHeading___Toc10105_2049021629"/>
      <w:bookmarkStart w:id="38" w:name="osservazioni-per-le-fasi-successive"/>
      <w:bookmarkEnd w:id="37"/>
      <w:r>
        <w:rPr/>
        <w:t>Osservazioni per le fasi successive</w:t>
      </w:r>
    </w:p>
    <w:p>
      <w:pPr>
        <w:pStyle w:val="FirstParagraph"/>
        <w:rPr/>
      </w:pPr>
      <w:r>
        <w:rPr/>
        <w:t xml:space="preserve">La baseline presenta due percorsi di check-in con contratti differenti. L’endpoint dedicato applica sessione, ownership e finestra temporale ma soffre il confronto tra data e </w:t>
      </w:r>
      <w:r>
        <w:rPr>
          <w:rStyle w:val="VerbatimChar"/>
        </w:rPr>
        <w:t>@db.Time</w:t>
      </w:r>
      <w:r>
        <w:rPr/>
        <w:t xml:space="preserve">; la </w:t>
      </w:r>
      <w:r>
        <w:rPr>
          <w:rStyle w:val="VerbatimChar"/>
        </w:rPr>
        <w:t>PATCH</w:t>
      </w:r>
      <w:r>
        <w:rPr/>
        <w:t xml:space="preserve"> legacy completa il check-in senza tali controlli. Anche l’estensione combina data reale e orari ancorati al 1970. Queste evidenze dovranno essere riprese nell’impact analysis e confrontate con i casi post-modifica, senza correggerle durante la Fase 1.</w:t>
      </w:r>
    </w:p>
    <w:p>
      <w:pPr>
        <w:pStyle w:val="Normal"/>
        <w:rPr/>
      </w:pPr>
      <w:bookmarkStart w:id="39" w:name="X608fff5feebc4a9e33c84493d2ad94cb2cd424a"/>
      <w:bookmarkStart w:id="40" w:name="osservazioni-per-le-fasi-successive"/>
      <w:r>
        <w:rPr/>
        <mc:AlternateContent>
          <mc:Choice Requires="wps">
            <w:drawing>
              <wp:inline distT="0" distB="0" distL="0" distR="0">
                <wp:extent cx="597598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76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70.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  <w:bookmarkEnd w:id="40"/>
    </w:p>
    <w:p>
      <w:pPr>
        <w:pStyle w:val="Heading1"/>
        <w:rPr/>
      </w:pPr>
      <w:bookmarkStart w:id="41" w:name="__RefHeading___Toc10107_2049021629"/>
      <w:bookmarkStart w:id="42" w:name="X9296c5b70738d0f320ad56c1d3f68a3f01f3580"/>
      <w:bookmarkEnd w:id="41"/>
      <w:r>
        <w:rPr/>
        <w:t>Specifica dei casi di test pre-modifica — admin e UI</w:t>
      </w:r>
    </w:p>
    <w:p>
      <w:pPr>
        <w:pStyle w:val="Heading2"/>
        <w:rPr/>
      </w:pPr>
      <w:bookmarkStart w:id="43" w:name="__RefHeading___Toc10109_2049021629"/>
      <w:bookmarkStart w:id="44" w:name="scopo-e-tracciabilità"/>
      <w:bookmarkEnd w:id="43"/>
      <w:r>
        <w:rPr/>
        <w:t>Scopo e tracciabilità</w:t>
      </w:r>
    </w:p>
    <w:p>
      <w:pPr>
        <w:pStyle w:val="FirstParagraph"/>
        <w:rPr/>
      </w:pPr>
      <w:r>
        <w:rPr/>
        <w:t xml:space="preserve">Questa sezione fotografa il comportamento che l’area amministrativa e il flusso di prenotazione UI devono conservare durante CR-BF-01. I casi costituiscono la baseline di regressione per </w:t>
      </w:r>
      <w:r>
        <w:rPr>
          <w:b/>
          <w:bCs/>
        </w:rPr>
        <w:t>CA-06</w:t>
      </w:r>
      <w:r>
        <w:rPr/>
        <w:t>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Task: </w:t>
      </w:r>
      <w:hyperlink r:id="rId3">
        <w:r>
          <w:rPr>
            <w:rStyle w:val="Hyperlink"/>
          </w:rPr>
          <w:t>BIB-21 — Specifica casi di test pre-modifica - admin e UI</w:t>
        </w:r>
      </w:hyperlink>
    </w:p>
    <w:p>
      <w:pPr>
        <w:pStyle w:val="Compact"/>
        <w:numPr>
          <w:ilvl w:val="0"/>
          <w:numId w:val="46"/>
        </w:numPr>
        <w:rPr/>
      </w:pPr>
      <w:r>
        <w:rPr/>
        <w:t>Responsabile operativo: Renato Mancino, in sostituzione anticipata dell’assegnazione originaria ad Alfonso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Baseline funzionale: tag Git </w:t>
      </w:r>
      <w:r>
        <w:rPr>
          <w:rStyle w:val="VerbatimChar"/>
        </w:rPr>
        <w:t>baseline-pre-cr-bf-01</w:t>
      </w:r>
    </w:p>
    <w:p>
      <w:pPr>
        <w:pStyle w:val="Compact"/>
        <w:numPr>
          <w:ilvl w:val="0"/>
          <w:numId w:val="48"/>
        </w:numPr>
        <w:rPr/>
      </w:pPr>
      <w:r>
        <w:rPr/>
        <w:t xml:space="preserve">Riferimento di esecuzione: </w:t>
      </w:r>
      <w:r>
        <w:rPr>
          <w:rStyle w:val="VerbatimChar"/>
        </w:rPr>
        <w:t>main</w:t>
      </w:r>
      <w:r>
        <w:rPr/>
        <w:t xml:space="preserve"> al commit </w:t>
      </w:r>
      <w:r>
        <w:rPr>
          <w:rStyle w:val="VerbatimChar"/>
        </w:rPr>
        <w:t>7469969</w:t>
      </w:r>
    </w:p>
    <w:p>
      <w:pPr>
        <w:pStyle w:val="Compact"/>
        <w:numPr>
          <w:ilvl w:val="0"/>
          <w:numId w:val="49"/>
        </w:numPr>
        <w:rPr/>
      </w:pPr>
      <w:r>
        <w:rPr/>
        <w:t>Implementazioni eseguibili:</w:t>
      </w:r>
    </w:p>
    <w:p>
      <w:pPr>
        <w:pStyle w:val="Compact"/>
        <w:numPr>
          <w:ilvl w:val="1"/>
          <w:numId w:val="50"/>
        </w:numPr>
        <w:rPr/>
      </w:pPr>
      <w:r>
        <w:rPr>
          <w:rStyle w:val="VerbatimChar"/>
        </w:rPr>
        <w:t>tests/pre-modifica/login.test.ts</w:t>
      </w:r>
    </w:p>
    <w:p>
      <w:pPr>
        <w:pStyle w:val="Compact"/>
        <w:numPr>
          <w:ilvl w:val="1"/>
          <w:numId w:val="51"/>
        </w:numPr>
        <w:rPr/>
      </w:pPr>
      <w:r>
        <w:rPr>
          <w:rStyle w:val="VerbatimChar"/>
        </w:rPr>
        <w:t>tests/pre-modifica/admin-ui.test.ts</w:t>
      </w:r>
    </w:p>
    <w:p>
      <w:pPr>
        <w:pStyle w:val="Compact"/>
        <w:numPr>
          <w:ilvl w:val="0"/>
          <w:numId w:val="52"/>
        </w:numPr>
        <w:rPr/>
      </w:pPr>
      <w:r>
        <w:rPr/>
        <w:t xml:space="preserve">Comando: </w:t>
      </w:r>
      <w:r>
        <w:rPr>
          <w:rStyle w:val="VerbatimChar"/>
        </w:rPr>
        <w:t>npm test</w:t>
      </w:r>
    </w:p>
    <w:p>
      <w:pPr>
        <w:pStyle w:val="FirstParagraph"/>
        <w:rPr/>
      </w:pPr>
      <w:r>
        <w:rPr/>
        <w:t xml:space="preserve">La numerazione parte da </w:t>
      </w:r>
      <w:r>
        <w:rPr>
          <w:rStyle w:val="VerbatimChar"/>
        </w:rPr>
        <w:t>TC-PRE-011</w:t>
      </w:r>
      <w:r>
        <w:rPr/>
        <w:t xml:space="preserve"> per non collidere con i casi prenotazioni </w:t>
      </w:r>
      <w:r>
        <w:rPr>
          <w:rStyle w:val="VerbatimChar"/>
        </w:rPr>
        <w:t>TC-PRE-001</w:t>
      </w:r>
      <w:r>
        <w:rPr/>
        <w:t>–</w:t>
      </w:r>
      <w:r>
        <w:rPr>
          <w:rStyle w:val="VerbatimChar"/>
        </w:rPr>
        <w:t>TC-PRE-010</w:t>
      </w:r>
      <w:r>
        <w:rPr/>
        <w:t xml:space="preserve"> sviluppati nella PR separata della task BIB-19.</w:t>
      </w:r>
      <w:bookmarkEnd w:id="44"/>
    </w:p>
    <w:p>
      <w:pPr>
        <w:pStyle w:val="Heading2"/>
        <w:rPr/>
      </w:pPr>
      <w:bookmarkStart w:id="45" w:name="__RefHeading___Toc10111_2049021629"/>
      <w:bookmarkEnd w:id="45"/>
      <w:r>
        <w:rPr/>
        <w:t>Matrice ruoli-operazioni verificata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82"/>
        <w:gridCol w:w="1882"/>
        <w:gridCol w:w="1883"/>
        <w:gridCol w:w="1882"/>
        <w:gridCol w:w="1883"/>
      </w:tblGrid>
      <w:tr>
        <w:trPr>
          <w:tblHeader w:val="true"/>
        </w:trPr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Operazione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Anonimo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Studente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Bibliotecario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Admin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Pagina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/admin/*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Redirect login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Accesso negato dalle verifiche di ruolo applicative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Consentito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API admin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401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403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Consentita, salvo operazioni riservate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Consentita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Attivazione/disattivazione utente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401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403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403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Consentita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Dettagli e storico utente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401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403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Consentita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Gestione prestiti/prenotazioni/statistiche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401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403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Consentita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Pagina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/prenota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Redirect login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Consentita con sessione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Consentita con sessione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Consentita con sessione</w:t>
            </w:r>
            <w:bookmarkStart w:id="46" w:name="matrice-ruoli-operazioni-verificata"/>
            <w:bookmarkEnd w:id="46"/>
          </w:p>
        </w:tc>
      </w:tr>
    </w:tbl>
    <w:p>
      <w:pPr>
        <w:pStyle w:val="Heading2"/>
        <w:rPr/>
      </w:pPr>
      <w:bookmarkStart w:id="47" w:name="__RefHeading___Toc10113_2049021629"/>
      <w:bookmarkEnd w:id="47"/>
      <w:r>
        <w:rPr/>
        <w:t>Matrice dei casi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3"/>
        <w:gridCol w:w="2353"/>
        <w:gridCol w:w="2353"/>
      </w:tblGrid>
      <w:tr>
        <w:trPr>
          <w:tblHeader w:val="true"/>
        </w:trPr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Area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Scenario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Risultato atteso baseline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TC-PRE-011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Login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Credenziali corrette, account attivo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Utente restituito e ultimo accesso aggiornato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TC-PRE-012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Login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Password errata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Errore credenziali, nessun aggiornamento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TC-PRE-013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Login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Account disattivato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Errore dedicato prima del confronto password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TC-PRE-014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Middleware UI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Pagina admin senza sessione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Redirect a login con callback URL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TC-PRE-015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Middleware API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API admin senza sessione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401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TC-PRE-016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Middleware UI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Pagina prenota con cookie sessione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Richiesta lasciata proseguire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TC-PRE-017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Statistiche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Studente autenticato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403 senza query dati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TC-PRE-018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 modifica stato account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403; operazione riservata ad Admin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TC-PRE-019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 legge dettagli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Dati utente e conteggi restituiti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TC-PRE-020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Prestiti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Admin registra restituzione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Stato restituito, log e notifica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TC-PRE-021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Prenotazioni admin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 annulla prenotazione in check-in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Cancellazione e posto liberato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TC-PRE-022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Statistiche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Distribuzione no-show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Valori e percentuali aggregati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TC-PRE-023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UI prenota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Contratto sorgente del payload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Endpoint e campi della richiesta invariati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TC-PRE-024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UI prenota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Invio payload valido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201 e prenotazione confermata</w:t>
            </w:r>
          </w:p>
        </w:tc>
      </w:tr>
    </w:tbl>
    <w:p>
      <w:pPr>
        <w:pStyle w:val="Heading2"/>
        <w:rPr/>
      </w:pPr>
      <w:bookmarkStart w:id="48" w:name="__RefHeading___Toc10115_2049021629"/>
      <w:bookmarkEnd w:id="48"/>
      <w:r>
        <w:rPr/>
        <w:t>Specifica dettagliata</w:t>
      </w:r>
    </w:p>
    <w:p>
      <w:pPr>
        <w:pStyle w:val="Heading3"/>
        <w:rPr/>
      </w:pPr>
      <w:bookmarkStart w:id="49" w:name="tc-pre-011-login-valido"/>
      <w:r>
        <w:rPr/>
        <w:t>TC-PRE-011 — Login valido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Account studente attivo, configurato con password; confronto hash positivo.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Autenticarsi mediante provider Credentials con email e password corrette.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Il provider restituisce i dati utente senza hash e aggiorna </w:t>
      </w:r>
      <w:r>
        <w:rPr>
          <w:rStyle w:val="VerbatimChar"/>
        </w:rPr>
        <w:t>ultimoAccesso</w:t>
      </w:r>
      <w:r>
        <w:rPr/>
        <w:t>.</w:t>
      </w:r>
      <w:bookmarkEnd w:id="49"/>
    </w:p>
    <w:p>
      <w:pPr>
        <w:pStyle w:val="Heading3"/>
        <w:rPr/>
      </w:pPr>
      <w:bookmarkStart w:id="50" w:name="tc-pre-012-password-errata"/>
      <w:r>
        <w:rPr/>
        <w:t>TC-PRE-012 — Password errata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Account attivo esistente; confronto hash negativo.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Autenticarsi con password errata.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Errore “Credenziali non valide”; </w:t>
      </w:r>
      <w:r>
        <w:rPr>
          <w:rStyle w:val="VerbatimChar"/>
        </w:rPr>
        <w:t>ultimoAccesso</w:t>
      </w:r>
      <w:r>
        <w:rPr/>
        <w:t xml:space="preserve"> invariato.</w:t>
      </w:r>
      <w:bookmarkEnd w:id="50"/>
    </w:p>
    <w:p>
      <w:pPr>
        <w:pStyle w:val="Heading3"/>
        <w:rPr/>
      </w:pPr>
      <w:bookmarkStart w:id="51" w:name="tc-pre-013-account-disattivato"/>
      <w:r>
        <w:rPr/>
        <w:t>TC-PRE-013 — Account disattivato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Account esistente con </w:t>
      </w:r>
      <w:r>
        <w:rPr>
          <w:rStyle w:val="VerbatimChar"/>
        </w:rPr>
        <w:t>attivo=false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Tentare il login.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Errore “Account disabilitato. Contatta la biblioteca.”; la password non viene confrontata.</w:t>
      </w:r>
      <w:bookmarkEnd w:id="51"/>
    </w:p>
    <w:p>
      <w:pPr>
        <w:pStyle w:val="Heading3"/>
        <w:rPr/>
      </w:pPr>
      <w:bookmarkStart w:id="52" w:name="tc-pre-014-pagina-admin-anonima"/>
      <w:r>
        <w:rPr/>
        <w:t>TC-PRE-014 — Pagina admin anonima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Cookie di sessione assente.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Richiedere </w:t>
      </w:r>
      <w:r>
        <w:rPr>
          <w:rStyle w:val="VerbatimChar"/>
        </w:rPr>
        <w:t>/admin/prenotazioni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Redirect temporaneo a </w:t>
      </w:r>
      <w:r>
        <w:rPr>
          <w:rStyle w:val="VerbatimChar"/>
        </w:rPr>
        <w:t>/login?callbackUrl=/admin/prenotazioni</w:t>
      </w:r>
      <w:r>
        <w:rPr/>
        <w:t>.</w:t>
      </w:r>
      <w:bookmarkEnd w:id="52"/>
    </w:p>
    <w:p>
      <w:pPr>
        <w:pStyle w:val="Heading3"/>
        <w:rPr/>
      </w:pPr>
      <w:bookmarkStart w:id="53" w:name="tc-pre-015-api-admin-anonima"/>
      <w:r>
        <w:rPr/>
        <w:t>TC-PRE-015 — API admin anonima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Cookie di sessione assente.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Richiedere </w:t>
      </w:r>
      <w:r>
        <w:rPr>
          <w:rStyle w:val="VerbatimChar"/>
        </w:rPr>
        <w:t>/api/admin/statistiche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HTTP 401 con errore </w:t>
      </w:r>
      <w:r>
        <w:rPr>
          <w:rStyle w:val="VerbatimChar"/>
        </w:rPr>
        <w:t>Non autenticato</w:t>
      </w:r>
      <w:r>
        <w:rPr/>
        <w:t>.</w:t>
      </w:r>
      <w:bookmarkEnd w:id="53"/>
    </w:p>
    <w:p>
      <w:pPr>
        <w:pStyle w:val="Heading3"/>
        <w:rPr/>
      </w:pPr>
      <w:bookmarkStart w:id="54" w:name="tc-pre-016-ui-prenotazione-autenticata"/>
      <w:r>
        <w:rPr/>
        <w:t>TC-PRE-016 — UI prenotazione autenticata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Cookie </w:t>
      </w:r>
      <w:r>
        <w:rPr>
          <w:rStyle w:val="VerbatimChar"/>
        </w:rPr>
        <w:t>authjs.session-token</w:t>
      </w:r>
      <w:r>
        <w:rPr/>
        <w:t xml:space="preserve"> presente.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Richiedere </w:t>
      </w:r>
      <w:r>
        <w:rPr>
          <w:rStyle w:val="VerbatimChar"/>
        </w:rPr>
        <w:t>/prenota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Il middleware lascia proseguire la richiesta.</w:t>
      </w:r>
      <w:bookmarkEnd w:id="54"/>
    </w:p>
    <w:p>
      <w:pPr>
        <w:pStyle w:val="Heading3"/>
        <w:rPr/>
      </w:pPr>
      <w:bookmarkStart w:id="55" w:name="X8f4ce05aa2397eb3d320d1767c49d09c4ffa8c9"/>
      <w:r>
        <w:rPr/>
        <w:t>TC-PRE-017 — Statistiche richieste da studente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Sessione con ruolo </w:t>
      </w:r>
      <w:r>
        <w:rPr>
          <w:rStyle w:val="VerbatimChar"/>
        </w:rPr>
        <w:t>STUDENTE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Richiedere il tasso no-show all’API statistiche admin.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HTTP 403; nessuna query di aggregazione.</w:t>
      </w:r>
      <w:bookmarkEnd w:id="55"/>
    </w:p>
    <w:p>
      <w:pPr>
        <w:pStyle w:val="Heading3"/>
        <w:rPr/>
      </w:pPr>
      <w:bookmarkStart w:id="56" w:name="X96cf2e98f630cbc40e45cc75c175034d0657f96"/>
      <w:r>
        <w:rPr/>
        <w:t>TC-PRE-018 — Modifica utente richiesta da bibliotecario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Sessione con ruolo </w:t>
      </w:r>
      <w:r>
        <w:rPr>
          <w:rStyle w:val="VerbatimChar"/>
        </w:rPr>
        <w:t>BIBLIOTECARIO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Tentare di disattivare un utente tramite </w:t>
      </w:r>
      <w:r>
        <w:rPr>
          <w:rStyle w:val="VerbatimChar"/>
        </w:rPr>
        <w:t>PATCH /api/admin/utenti/{id}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HTTP 403; nessun aggiornamento. La baseline riserva l’operazione ad </w:t>
      </w:r>
      <w:r>
        <w:rPr>
          <w:rStyle w:val="VerbatimChar"/>
        </w:rPr>
        <w:t>ADMIN</w:t>
      </w:r>
      <w:r>
        <w:rPr/>
        <w:t>.</w:t>
      </w:r>
      <w:bookmarkEnd w:id="56"/>
    </w:p>
    <w:p>
      <w:pPr>
        <w:pStyle w:val="Heading3"/>
        <w:rPr/>
      </w:pPr>
      <w:bookmarkStart w:id="57" w:name="X87a8a13ba72e235cda369092b0258eb75bb97f5"/>
      <w:r>
        <w:rPr/>
        <w:t>TC-PRE-019 — Dettagli utente per bibliotecario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Sessione bibliotecario; utente esistente con prenotazioni, prestiti e un no-show.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Richiedere </w:t>
      </w:r>
      <w:r>
        <w:rPr>
          <w:rStyle w:val="VerbatimChar"/>
        </w:rPr>
        <w:t>GET /api/admin/utenti/{id}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HTTP 200 con profilo, storico e conteggi di prenotazioni, prestiti e no-show.</w:t>
      </w:r>
      <w:bookmarkEnd w:id="57"/>
    </w:p>
    <w:p>
      <w:pPr>
        <w:pStyle w:val="Heading3"/>
        <w:rPr/>
      </w:pPr>
      <w:bookmarkStart w:id="58" w:name="tc-pre-020-restituzione-prestito"/>
      <w:r>
        <w:rPr/>
        <w:t>TC-PRE-020 — Restituzione prestito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Sessione admin; prestito attivo non scaduto.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Inviare l’azione </w:t>
      </w:r>
      <w:r>
        <w:rPr>
          <w:rStyle w:val="VerbatimChar"/>
        </w:rPr>
        <w:t>RESTITUISCI</w:t>
      </w:r>
      <w:r>
        <w:rPr/>
        <w:t xml:space="preserve"> all’API prestiti admin.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Stato </w:t>
      </w:r>
      <w:r>
        <w:rPr>
          <w:rStyle w:val="VerbatimChar"/>
        </w:rPr>
        <w:t>RESTITUITO</w:t>
      </w:r>
      <w:r>
        <w:rPr/>
        <w:t>, data restituzione valorizzata, log e notifica; zero giorni di ritardo.</w:t>
      </w:r>
      <w:bookmarkEnd w:id="58"/>
    </w:p>
    <w:p>
      <w:pPr>
        <w:pStyle w:val="Heading3"/>
        <w:rPr/>
      </w:pPr>
      <w:bookmarkStart w:id="59" w:name="X344d681bfb61642995c5534aa72e94dfa23a988"/>
      <w:r>
        <w:rPr/>
        <w:t>TC-PRE-021 — Cancellazione prenotazione admin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Sessione bibliotecario; prenotazione in </w:t>
      </w:r>
      <w:r>
        <w:rPr>
          <w:rStyle w:val="VerbatimChar"/>
        </w:rPr>
        <w:t>CHECK_IN</w:t>
      </w:r>
      <w:r>
        <w:rPr/>
        <w:t xml:space="preserve"> con posto </w:t>
      </w:r>
      <w:r>
        <w:rPr>
          <w:rStyle w:val="VerbatimChar"/>
        </w:rPr>
        <w:t>OCCUPATO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Inviare l’azione </w:t>
      </w:r>
      <w:r>
        <w:rPr>
          <w:rStyle w:val="VerbatimChar"/>
        </w:rPr>
        <w:t>ANNULLA_SINGOLA</w:t>
      </w:r>
      <w:r>
        <w:rPr/>
        <w:t xml:space="preserve"> all’API prenotazioni admin.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Prenotazione </w:t>
      </w:r>
      <w:r>
        <w:rPr>
          <w:rStyle w:val="VerbatimChar"/>
        </w:rPr>
        <w:t>CANCELLATA</w:t>
      </w:r>
      <w:r>
        <w:rPr/>
        <w:t xml:space="preserve">, posto </w:t>
      </w:r>
      <w:r>
        <w:rPr>
          <w:rStyle w:val="VerbatimChar"/>
        </w:rPr>
        <w:t>DISPONIBILE</w:t>
      </w:r>
      <w:r>
        <w:rPr/>
        <w:t>, log e notifica.</w:t>
      </w:r>
      <w:bookmarkEnd w:id="59"/>
    </w:p>
    <w:p>
      <w:pPr>
        <w:pStyle w:val="Heading3"/>
        <w:rPr/>
      </w:pPr>
      <w:bookmarkStart w:id="60" w:name="tc-pre-022-statistica-tasso-no-show"/>
      <w:r>
        <w:rPr/>
        <w:t>TC-PRE-022 — Statistica tasso no-show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Sessione staff; aggregato con 2 no-show, 6 completate e 2 cancellate.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Richiedere </w:t>
      </w:r>
      <w:r>
        <w:rPr>
          <w:rStyle w:val="VerbatimChar"/>
        </w:rPr>
        <w:t>tipo=tasso-noshow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Distribuzione 20% no-show, 60% completate, 20% altre.</w:t>
      </w:r>
      <w:bookmarkEnd w:id="60"/>
    </w:p>
    <w:p>
      <w:pPr>
        <w:pStyle w:val="Heading3"/>
        <w:rPr/>
      </w:pPr>
      <w:bookmarkStart w:id="61" w:name="tc-pre-023-contratto-uiapi-prenotazione"/>
      <w:r>
        <w:rPr/>
        <w:t>TC-PRE-023 — Contratto UI/API prenotazione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Sorgente baseline della pagina </w:t>
      </w:r>
      <w:r>
        <w:rPr>
          <w:rStyle w:val="VerbatimChar"/>
        </w:rPr>
        <w:t>/prenota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Verificare in modo eseguibile endpoint e campi serializzati dal flusso di conferma.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</w:t>
      </w:r>
      <w:r>
        <w:rPr>
          <w:rStyle w:val="VerbatimChar"/>
        </w:rPr>
        <w:t>POST /api/prenotazioni</w:t>
      </w:r>
      <w:r>
        <w:rPr/>
        <w:t xml:space="preserve"> con </w:t>
      </w:r>
      <w:r>
        <w:rPr>
          <w:rStyle w:val="VerbatimChar"/>
        </w:rPr>
        <w:t>userId</w:t>
      </w:r>
      <w:r>
        <w:rPr/>
        <w:t xml:space="preserve">, </w:t>
      </w:r>
      <w:r>
        <w:rPr>
          <w:rStyle w:val="VerbatimChar"/>
        </w:rPr>
        <w:t>postoId</w:t>
      </w:r>
      <w:r>
        <w:rPr/>
        <w:t xml:space="preserve">, data, orari e margine pendolare. Il passaggio di </w:t>
      </w:r>
      <w:r>
        <w:rPr>
          <w:rStyle w:val="VerbatimChar"/>
        </w:rPr>
        <w:t>userId</w:t>
      </w:r>
      <w:r>
        <w:rPr/>
        <w:t xml:space="preserve"> dal client è comportamento della baseline, non il comportamento sicuro richiesto dalla CR.</w:t>
      </w:r>
      <w:bookmarkEnd w:id="61"/>
    </w:p>
    <w:p>
      <w:pPr>
        <w:pStyle w:val="Heading3"/>
        <w:rPr/>
      </w:pPr>
      <w:bookmarkStart w:id="62" w:name="X757bdf5ed7630b738d2385d1ea6feaa5ecbf5d9"/>
      <w:r>
        <w:rPr/>
        <w:t>TC-PRE-024 — Conferma prenotazione dalla UI</w:t>
      </w:r>
    </w:p>
    <w:p>
      <w:pPr>
        <w:pStyle w:val="FirstParagraph"/>
        <w:rPr/>
      </w:pPr>
      <w:r>
        <w:rPr>
          <w:b/>
          <w:bCs/>
        </w:rPr>
        <w:t>Precondizioni.</w:t>
      </w:r>
      <w:r>
        <w:rPr/>
        <w:t xml:space="preserve"> Utente, sala e posto esistenti; nessuna sovrapposizione.</w:t>
      </w:r>
    </w:p>
    <w:p>
      <w:pPr>
        <w:pStyle w:val="BodyText"/>
        <w:rPr/>
      </w:pPr>
      <w:r>
        <w:rPr>
          <w:b/>
          <w:bCs/>
        </w:rPr>
        <w:t>Passi.</w:t>
      </w:r>
      <w:r>
        <w:rPr/>
        <w:t xml:space="preserve"> Inviare all’API il payload prodotto dalla pagina </w:t>
      </w:r>
      <w:r>
        <w:rPr>
          <w:rStyle w:val="VerbatimChar"/>
        </w:rPr>
        <w:t>/prenota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Risultato atteso.</w:t>
      </w:r>
      <w:r>
        <w:rPr/>
        <w:t xml:space="preserve"> HTTP 201 e prenotazione </w:t>
      </w:r>
      <w:r>
        <w:rPr>
          <w:rStyle w:val="VerbatimChar"/>
        </w:rPr>
        <w:t>CONFERMATA</w:t>
      </w:r>
      <w:r>
        <w:rPr/>
        <w:t>.</w:t>
      </w:r>
      <w:bookmarkEnd w:id="62"/>
    </w:p>
    <w:p>
      <w:pPr>
        <w:pStyle w:val="Heading2"/>
        <w:rPr/>
      </w:pPr>
      <w:bookmarkStart w:id="63" w:name="__RefHeading___Toc10117_2049021629"/>
      <w:bookmarkStart w:id="64" w:name="note-per-i-test-post-modifica"/>
      <w:bookmarkEnd w:id="63"/>
      <w:r>
        <w:rPr/>
        <w:t>Note per i test post-modifica</w:t>
      </w:r>
    </w:p>
    <w:p>
      <w:pPr>
        <w:pStyle w:val="FirstParagraph"/>
        <w:spacing w:lineRule="auto" w:line="268" w:before="180" w:after="120"/>
        <w:rPr/>
      </w:pPr>
      <w:bookmarkStart w:id="65" w:name="X9296c5b70738d0f320ad56c1d3f68a3f01f3580"/>
      <w:bookmarkStart w:id="66" w:name="note-per-i-test-post-modifica"/>
      <w:r>
        <w:rPr/>
        <w:t>I casi di login, gestione utenti, prestiti, statistiche e navigazione protetta costituiscono regressione invariata per CA-06. I casi TC-PRE-021, TC-PRE-023 e TC-PRE-024 intersecano invece i ripple effect della CR: la cancellazione admin dovrà attivare la promozione dalla lista d’attesa e l’identità della prenotazione non dovrà più provenire dal payload client. Nella specifica post-modifica dovranno quindi essere classificati come modificati, mantenendo esplicito il confronto con questa baseline.</w:t>
      </w:r>
      <w:bookmarkEnd w:id="65"/>
      <w:bookmarkEnd w:id="66"/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247" w:right="1247" w:gutter="0" w:header="720" w:top="1247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sz w:val="17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>
        <w:color w:val="707070"/>
        <w:sz w:val="17"/>
      </w:rPr>
      <w:t>BiblioFlow — CR-BF-01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5"/>
    <w:lvlOverride w:ilvl="0">
      <w:startOverride w:val="1"/>
    </w:lvlOverride>
  </w:num>
  <w:num w:numId="36">
    <w:abstractNumId w:val="5"/>
    <w:lvlOverride w:ilvl="0">
      <w:startOverride w:val="1"/>
    </w:lvlOverride>
  </w:num>
  <w:num w:numId="37">
    <w:abstractNumId w:val="5"/>
    <w:lvlOverride w:ilvl="0">
      <w:startOverride w:val="1"/>
    </w:lvlOverride>
  </w:num>
  <w:num w:numId="38">
    <w:abstractNumId w:val="5"/>
    <w:lvlOverride w:ilvl="0">
      <w:startOverride w:val="1"/>
    </w:lvlOverride>
  </w:num>
  <w:num w:numId="39">
    <w:abstractNumId w:val="5"/>
    <w:lvlOverride w:ilvl="0">
      <w:startOverride w:val="1"/>
    </w:lvlOverride>
  </w:num>
  <w:num w:numId="40">
    <w:abstractNumId w:val="5"/>
    <w:lvlOverride w:ilvl="0">
      <w:startOverride w:val="1"/>
    </w:lvlOverride>
  </w:num>
  <w:num w:numId="41">
    <w:abstractNumId w:val="5"/>
    <w:lvlOverride w:ilvl="0">
      <w:startOverride w:val="1"/>
    </w:lvlOverride>
  </w:num>
  <w:num w:numId="42">
    <w:abstractNumId w:val="5"/>
    <w:lvlOverride w:ilvl="0">
      <w:startOverride w:val="1"/>
    </w:lvlOverride>
  </w:num>
  <w:num w:numId="43">
    <w:abstractNumId w:val="5"/>
    <w:lvlOverride w:ilvl="0">
      <w:startOverride w:val="1"/>
    </w:lvlOverride>
  </w:num>
  <w:num w:numId="44">
    <w:abstractNumId w:val="5"/>
    <w:lvlOverride w:ilvl="0">
      <w:startOverride w:val="1"/>
    </w:lvlOverride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1"/>
      <w:szCs w:val="24"/>
      <w:lang w:val="it-IT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320" w:after="120"/>
      <w:outlineLvl w:val="0"/>
    </w:pPr>
    <w:rPr>
      <w:rFonts w:ascii="Calibri" w:hAnsi="Calibri" w:eastAsia="Calibri" w:cs="Calibri"/>
      <w:b/>
      <w:bCs/>
      <w:i w:val="false"/>
      <w:color w:val="1F3A68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20" w:after="120"/>
      <w:outlineLvl w:val="1"/>
    </w:pPr>
    <w:rPr>
      <w:rFonts w:ascii="Calibri" w:hAnsi="Calibri" w:eastAsia="Calibri" w:cs="Calibri"/>
      <w:b/>
      <w:bCs/>
      <w:i w:val="false"/>
      <w:color w:val="1F3A68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20" w:after="120"/>
      <w:outlineLvl w:val="2"/>
    </w:pPr>
    <w:rPr>
      <w:rFonts w:ascii="Calibri" w:hAnsi="Calibri" w:eastAsia="Calibri" w:cs="Calibri"/>
      <w:b/>
      <w:bCs/>
      <w:i w:val="false"/>
      <w:color w:val="1F3A68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20" w:after="120"/>
      <w:outlineLvl w:val="3"/>
    </w:pPr>
    <w:rPr>
      <w:rFonts w:ascii="Calibri" w:hAnsi="Calibri" w:eastAsia="Calibri" w:cs="Calibri"/>
      <w:b/>
      <w:bCs/>
      <w:i w:val="false"/>
      <w:color w:val="1F3A68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20" w:after="120"/>
      <w:outlineLvl w:val="4"/>
    </w:pPr>
    <w:rPr>
      <w:rFonts w:ascii="Calibri" w:hAnsi="Calibri" w:eastAsia="Calibri" w:cs="Calibri"/>
      <w:b/>
      <w:i w:val="false"/>
      <w:iCs/>
      <w:color w:val="1F3A68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20" w:after="120"/>
      <w:outlineLvl w:val="5"/>
    </w:pPr>
    <w:rPr>
      <w:rFonts w:ascii="Calibri" w:hAnsi="Calibri" w:eastAsia="Calibri" w:cs="Calibri"/>
      <w:b/>
      <w:i w:val="false"/>
      <w:color w:val="1F3A68"/>
      <w:sz w:val="21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 w:eastAsia="Consolas" w:cs="Consolas"/>
      <w:color w:val="8A1F3D"/>
      <w:sz w:val="18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1F5FA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68" w:before="180" w:after="120"/>
    </w:pPr>
    <w:rPr>
      <w:rFonts w:ascii="Calibri" w:hAnsi="Calibri" w:eastAsia="Calibri" w:cs="Calibri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68" w:before="180" w:after="120"/>
    </w:pPr>
    <w:rPr>
      <w:rFonts w:ascii="Calibri" w:hAnsi="Calibri" w:eastAsia="Calibri" w:cs="Calibri"/>
      <w:sz w:val="21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Calibri" w:hAnsi="Calibri" w:eastAsia="Calibri" w:cs="Calibri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00"/>
      <w:jc w:val="left"/>
    </w:pPr>
    <w:rPr>
      <w:rFonts w:ascii="Calibri" w:hAnsi="Calibri" w:eastAsia="Calibri" w:cs="Calibri"/>
      <w:b/>
      <w:bCs/>
      <w:color w:val="1F3A68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left"/>
    </w:pPr>
    <w:rPr>
      <w:rFonts w:ascii="Calibri" w:hAnsi="Calibri" w:eastAsia="Calibri" w:cs="Calibri"/>
      <w:b w:val="false"/>
      <w:color w:val="444F60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Normal"/>
    <w:next w:val="BodyText"/>
    <w:uiPriority w:val="39"/>
    <w:unhideWhenUsed/>
    <w:qFormat/>
    <w:pPr>
      <w:spacing w:lineRule="auto" w:line="259" w:before="0" w:after="80"/>
    </w:pPr>
    <w:rPr>
      <w:rFonts w:ascii="Calibri" w:hAnsi="Calibri" w:eastAsia="Calibri" w:cs="Calibri"/>
      <w:b/>
      <w:bCs w:val="false"/>
      <w:color w:val="1F3A68"/>
      <w:sz w:val="34"/>
    </w:rPr>
  </w:style>
  <w:style w:type="paragraph" w:styleId="CoverKicker" w:customStyle="1">
    <w:name w:val="Cover Kicker"/>
    <w:basedOn w:val="Normal"/>
    <w:qFormat/>
    <w:pPr>
      <w:spacing w:before="3000" w:after="80"/>
    </w:pPr>
    <w:rPr>
      <w:rFonts w:ascii="Calibri" w:hAnsi="Calibri" w:eastAsia="Calibri" w:cs="Calibri"/>
      <w:b/>
      <w:color w:val="5A677D"/>
      <w:sz w:val="24"/>
    </w:rPr>
  </w:style>
  <w:style w:type="paragraph" w:styleId="CoverMeta" w:customStyle="1">
    <w:name w:val="Cover Meta"/>
    <w:basedOn w:val="Normal"/>
    <w:qFormat/>
    <w:pPr>
      <w:spacing w:before="160" w:after="80"/>
    </w:pPr>
    <w:rPr>
      <w:rFonts w:ascii="Calibri" w:hAnsi="Calibri" w:eastAsia="Calibri" w:cs="Calibri"/>
      <w:b w:val="false"/>
      <w:color w:val="333333"/>
      <w:sz w:val="21"/>
    </w:rPr>
  </w:style>
  <w:style w:type="paragraph" w:styleId="CoverLabel" w:customStyle="1">
    <w:name w:val="Cover Label"/>
    <w:basedOn w:val="Normal"/>
    <w:qFormat/>
    <w:pPr>
      <w:spacing w:before="520" w:after="80"/>
    </w:pPr>
    <w:rPr>
      <w:rFonts w:ascii="Calibri" w:hAnsi="Calibri" w:eastAsia="Calibri" w:cs="Calibri"/>
      <w:b/>
      <w:color w:val="1F3A68"/>
      <w:sz w:val="21"/>
    </w:rPr>
  </w:style>
  <w:style w:type="paragraph" w:styleId="CoverMember" w:customStyle="1">
    <w:name w:val="Cover Member"/>
    <w:basedOn w:val="Normal"/>
    <w:qFormat/>
    <w:pPr>
      <w:spacing w:before="40" w:after="80"/>
    </w:pPr>
    <w:rPr>
      <w:rFonts w:ascii="Calibri" w:hAnsi="Calibri" w:eastAsia="Calibri" w:cs="Calibri"/>
      <w:b w:val="false"/>
      <w:color w:val="222222"/>
      <w:sz w:val="22"/>
    </w:rPr>
  </w:style>
  <w:style w:type="paragraph" w:styleId="SourceCode" w:customStyle="1">
    <w:name w:val="Source Code"/>
    <w:basedOn w:val="Normal"/>
    <w:qFormat/>
    <w:pPr>
      <w:shd w:val="clear" w:color="auto" w:fill="F3F5F8"/>
      <w:spacing w:lineRule="auto" w:line="240" w:before="0" w:after="0"/>
    </w:pPr>
    <w:rPr>
      <w:rFonts w:ascii="Consolas" w:hAnsi="Consolas" w:eastAsia="Consolas" w:cs="Consolas"/>
      <w:sz w:val="17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41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129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riospaceforuni.atlassian.net/browse/BIB-19" TargetMode="External"/><Relationship Id="rId3" Type="http://schemas.openxmlformats.org/officeDocument/2006/relationships/hyperlink" Target="https://mariospaceforuni.atlassian.net/browse/BIB-21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</Pages>
  <Words>2357</Words>
  <Characters>15878</Characters>
  <CharactersWithSpaces>17828</CharactersWithSpaces>
  <Paragraphs>400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2026-10-13T12:28:07Z</dcterms:created>
  <dc:creator/>
  <dc:description/>
  <dc:language>it-IT</dc:language>
  <cp:lastModifiedBy/>
  <dcterms:modified xsi:type="dcterms:W3CDTF">2026-10-13T14:28:17Z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