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Kicker"/>
        <w:spacing w:before="3000" w:after="80"/>
        <w:rPr/>
      </w:pPr>
      <w:r>
        <w:rPr/>
        <w:t>BiblioFlow — Change request CR-BF-01</w:t>
      </w:r>
    </w:p>
    <w:p>
      <w:pPr>
        <w:pStyle w:val="Title"/>
        <w:rPr/>
      </w:pPr>
      <w:r>
        <w:rPr/>
        <w:t>Report di esecuzione dei test di regressione</w:t>
      </w:r>
    </w:p>
    <w:p>
      <w:pPr>
        <w:pStyle w:val="Subtitle"/>
        <w:rPr/>
      </w:pPr>
      <w:r>
        <w:rPr/>
        <w:t>Casi di test sulle parti non modificate</w:t>
      </w:r>
    </w:p>
    <w:p>
      <w:pPr>
        <w:pStyle w:val="CoverMeta"/>
        <w:rPr/>
      </w:pPr>
      <w:r>
        <w:rPr/>
        <w:t>Ingegneria, Gestione ed Evoluzione del Software — A.A. 2025/2026</w:t>
      </w:r>
    </w:p>
    <w:p>
      <w:pPr>
        <w:pStyle w:val="CoverLabel"/>
        <w:rPr/>
      </w:pPr>
      <w:r>
        <w:rPr/>
        <w:t>Gruppo</w:t>
      </w:r>
    </w:p>
    <w:p>
      <w:pPr>
        <w:pStyle w:val="CoverMember"/>
        <w:rPr/>
      </w:pPr>
      <w:r>
        <w:rPr/>
        <w:t>Mario Celzo — NF22500193</w:t>
      </w:r>
    </w:p>
    <w:p>
      <w:pPr>
        <w:pStyle w:val="CoverMember"/>
        <w:rPr/>
      </w:pPr>
      <w:r>
        <w:rPr/>
        <w:t>Renato Mancino — NF22500242</w:t>
      </w:r>
    </w:p>
    <w:p>
      <w:pPr>
        <w:pStyle w:val="CoverMember"/>
        <w:rPr/>
      </w:pPr>
      <w:r>
        <w:rPr/>
        <w:t>Alfonso Maria Ferrara — NF22500210</w:t>
      </w:r>
    </w:p>
    <w:p>
      <w:pPr>
        <w:pStyle w:val="CoverMeta"/>
        <w:rPr/>
      </w:pPr>
      <w:r>
        <w:rPr/>
        <w:t xml:space="preserve">Repository: https://github.com/mariocelzo/biblioflow-app — codice verificato al commit </w:t>
      </w:r>
      <w:r>
        <w:rPr>
          <w:rStyle w:val="VerbatimChar"/>
        </w:rPr>
        <w:t>1730b23</w:t>
      </w:r>
    </w:p>
    <w:p>
      <w:pPr>
        <w:pStyle w:val="CoverMeta"/>
        <w:rPr/>
      </w:pPr>
      <w:r>
        <w:rPr/>
        <w:t>Data: 13 ottobre 2026</w:t>
      </w:r>
    </w:p>
    <w:p>
      <w:pPr>
        <w:pStyle w:val="Normal"/>
        <w:rPr/>
      </w:pPr>
      <w:r>
        <w:rPr/>
      </w:r>
      <w:r>
        <w:br w:type="page"/>
      </w:r>
    </w:p>
    <w:p>
      <w:pPr>
        <w:pStyle w:val="TOCHeading"/>
        <w:spacing w:before="0" w:after="80"/>
        <w:rPr/>
      </w:pPr>
      <w:r>
        <w:rPr/>
        <w:t>Indice</w:t>
      </w:r>
    </w:p>
    <w:sdt>
      <w:sdtPr>
        <w:docPartObj>
          <w:docPartGallery w:val="Table of Contents"/>
          <w:docPartUnique w:val="true"/>
        </w:docPartObj>
      </w:sdtPr>
      <w:sdtContent>
        <w:p>
          <w:pPr>
            <w:pStyle w:val="TOC1"/>
            <w:tabs>
              <w:tab w:val="clear" w:pos="9412"/>
              <w:tab w:val="right" w:pos="9411" w:leader="dot"/>
            </w:tabs>
            <w:rPr/>
          </w:pPr>
          <w:r>
            <w:fldChar w:fldCharType="begin"/>
          </w:r>
          <w:r>
            <w:rPr>
              <w:webHidden/>
              <w:rStyle w:val="IndexLink"/>
            </w:rPr>
            <w:instrText xml:space="preserve"> TOC \z \o "1-2" \u \h</w:instrText>
          </w:r>
          <w:r>
            <w:rPr>
              <w:webHidden/>
              <w:rStyle w:val="IndexLink"/>
            </w:rPr>
            <w:fldChar w:fldCharType="separate"/>
          </w:r>
          <w:hyperlink w:anchor="__RefHeading___Toc17230_2049021629">
            <w:r>
              <w:rPr>
                <w:webHidden/>
                <w:rStyle w:val="IndexLink"/>
              </w:rPr>
              <w:t>Identificazione</w:t>
              <w:tab/>
              <w:t>3</w:t>
            </w:r>
          </w:hyperlink>
        </w:p>
        <w:p>
          <w:pPr>
            <w:pStyle w:val="TOC1"/>
            <w:tabs>
              <w:tab w:val="clear" w:pos="9412"/>
              <w:tab w:val="right" w:pos="9411" w:leader="dot"/>
            </w:tabs>
            <w:rPr/>
          </w:pPr>
          <w:hyperlink w:anchor="__RefHeading___Toc17232_2049021629">
            <w:r>
              <w:rPr>
                <w:webHidden/>
                <w:rStyle w:val="IndexLink"/>
              </w:rPr>
              <w:t>Scopo</w:t>
              <w:tab/>
              <w:t>3</w:t>
            </w:r>
          </w:hyperlink>
        </w:p>
        <w:p>
          <w:pPr>
            <w:pStyle w:val="TOC1"/>
            <w:tabs>
              <w:tab w:val="clear" w:pos="9412"/>
              <w:tab w:val="right" w:pos="9411" w:leader="dot"/>
            </w:tabs>
            <w:rPr/>
          </w:pPr>
          <w:hyperlink w:anchor="__RefHeading___Toc17234_2049021629">
            <w:r>
              <w:rPr>
                <w:webHidden/>
                <w:rStyle w:val="IndexLink"/>
              </w:rPr>
              <w:t>Ambiente e metodo</w:t>
              <w:tab/>
              <w:t>3</w:t>
            </w:r>
          </w:hyperlink>
        </w:p>
        <w:p>
          <w:pPr>
            <w:pStyle w:val="TOC1"/>
            <w:tabs>
              <w:tab w:val="clear" w:pos="9412"/>
              <w:tab w:val="right" w:pos="9411" w:leader="dot"/>
            </w:tabs>
            <w:rPr/>
          </w:pPr>
          <w:hyperlink w:anchor="__RefHeading___Toc17236_2049021629">
            <w:r>
              <w:rPr>
                <w:webHidden/>
                <w:rStyle w:val="IndexLink"/>
              </w:rPr>
              <w:t>Esito complessivo dei casi invariati</w:t>
              <w:tab/>
              <w:t>3</w:t>
            </w:r>
          </w:hyperlink>
        </w:p>
        <w:p>
          <w:pPr>
            <w:pStyle w:val="TOC1"/>
            <w:tabs>
              <w:tab w:val="clear" w:pos="9412"/>
              <w:tab w:val="right" w:pos="9411" w:leader="dot"/>
            </w:tabs>
            <w:rPr/>
          </w:pPr>
          <w:hyperlink w:anchor="__RefHeading___Toc17238_2049021629">
            <w:r>
              <w:rPr>
                <w:webHidden/>
                <w:rStyle w:val="IndexLink"/>
              </w:rPr>
              <w:t>Confronto caso per caso</w:t>
              <w:tab/>
              <w:t>4</w:t>
            </w:r>
          </w:hyperlink>
        </w:p>
        <w:p>
          <w:pPr>
            <w:pStyle w:val="TOC1"/>
            <w:tabs>
              <w:tab w:val="clear" w:pos="9412"/>
              <w:tab w:val="right" w:pos="9411" w:leader="dot"/>
            </w:tabs>
            <w:rPr/>
          </w:pPr>
          <w:hyperlink w:anchor="__RefHeading___Toc17240_2049021629">
            <w:r>
              <w:rPr>
                <w:webHidden/>
                <w:rStyle w:val="IndexLink"/>
              </w:rPr>
              <w:t>Copertura delle aree richieste</w:t>
              <w:tab/>
              <w:t>5</w:t>
            </w:r>
          </w:hyperlink>
        </w:p>
        <w:p>
          <w:pPr>
            <w:pStyle w:val="TOC1"/>
            <w:tabs>
              <w:tab w:val="clear" w:pos="9412"/>
              <w:tab w:val="right" w:pos="9411" w:leader="dot"/>
            </w:tabs>
            <w:rPr/>
          </w:pPr>
          <w:hyperlink w:anchor="__RefHeading___Toc17242_2049021629">
            <w:r>
              <w:rPr>
                <w:webHidden/>
                <w:rStyle w:val="IndexLink"/>
              </w:rPr>
              <w:t>Differenze osservate e motivazione</w:t>
              <w:tab/>
              <w:t>5</w:t>
            </w:r>
          </w:hyperlink>
        </w:p>
        <w:p>
          <w:pPr>
            <w:pStyle w:val="TOC2"/>
            <w:tabs>
              <w:tab w:val="clear" w:pos="9129"/>
              <w:tab w:val="right" w:pos="9411" w:leader="dot"/>
            </w:tabs>
            <w:rPr/>
          </w:pPr>
          <w:hyperlink w:anchor="__RefHeading___Toc17244_2049021629">
            <w:r>
              <w:rPr>
                <w:webHidden/>
                <w:rStyle w:val="IndexLink"/>
              </w:rPr>
              <w:t>Differenze volute</w:t>
              <w:tab/>
              <w:t>5</w:t>
            </w:r>
          </w:hyperlink>
        </w:p>
        <w:p>
          <w:pPr>
            <w:pStyle w:val="TOC2"/>
            <w:tabs>
              <w:tab w:val="clear" w:pos="9129"/>
              <w:tab w:val="right" w:pos="9411" w:leader="dot"/>
            </w:tabs>
            <w:rPr/>
          </w:pPr>
          <w:hyperlink w:anchor="__RefHeading___Toc17246_2049021629">
            <w:r>
              <w:rPr>
                <w:webHidden/>
                <w:rStyle w:val="IndexLink"/>
              </w:rPr>
              <w:t>Limiti preesistenti, non regressioni CR-BF-01</w:t>
              <w:tab/>
              <w:t>5</w:t>
            </w:r>
          </w:hyperlink>
        </w:p>
        <w:p>
          <w:pPr>
            <w:pStyle w:val="TOC2"/>
            <w:tabs>
              <w:tab w:val="clear" w:pos="9129"/>
              <w:tab w:val="right" w:pos="9411" w:leader="dot"/>
            </w:tabs>
            <w:rPr/>
          </w:pPr>
          <w:hyperlink w:anchor="__RefHeading___Toc17248_2049021629">
            <w:r>
              <w:rPr>
                <w:webHidden/>
                <w:rStyle w:val="IndexLink"/>
              </w:rPr>
              <w:t>Perché npx vitest run mostra molti errori</w:t>
              <w:tab/>
              <w:t>6</w:t>
            </w:r>
          </w:hyperlink>
        </w:p>
        <w:p>
          <w:pPr>
            <w:pStyle w:val="TOC1"/>
            <w:tabs>
              <w:tab w:val="clear" w:pos="9412"/>
              <w:tab w:val="right" w:pos="9411" w:leader="dot"/>
            </w:tabs>
            <w:rPr/>
          </w:pPr>
          <w:hyperlink w:anchor="__RefHeading___Toc17250_2049021629">
            <w:r>
              <w:rPr>
                <w:webHidden/>
                <w:rStyle w:val="IndexLink"/>
              </w:rPr>
              <w:t>Conclusione CA-06</w:t>
              <w:tab/>
              <w:t>6</w:t>
            </w:r>
          </w:hyperlink>
          <w:r>
            <w:rPr>
              <w:rStyle w:val="IndexLink"/>
            </w:rPr>
            <w:fldChar w:fldCharType="end"/>
          </w:r>
        </w:p>
      </w:sdtContent>
    </w:sdt>
    <w:p>
      <w:pPr>
        <w:pStyle w:val="Normal"/>
        <w:widowControl/>
        <w:bidi w:val="0"/>
        <w:spacing w:before="0" w:after="200"/>
        <w:jc w:val="left"/>
        <w:rPr>
          <w:rFonts w:ascii="Calibri" w:hAnsi="Calibri" w:eastAsia="Calibri" w:cs="Calibri"/>
          <w:sz w:val="21"/>
        </w:rPr>
      </w:pPr>
      <w:r>
        <w:rPr>
          <w:rFonts w:eastAsia="Calibri" w:cs="Calibri"/>
          <w:sz w:val="21"/>
        </w:rPr>
      </w:r>
      <w:r>
        <w:br w:type="page"/>
      </w:r>
    </w:p>
    <w:p>
      <w:pPr>
        <w:pStyle w:val="Heading1"/>
        <w:spacing w:before="0" w:after="120"/>
        <w:rPr/>
      </w:pPr>
      <w:bookmarkStart w:id="0" w:name="__RefHeading___Toc17230_2049021629"/>
      <w:bookmarkEnd w:id="0"/>
      <w:r>
        <w:rPr/>
        <w:t>Identificazione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705"/>
        <w:gridCol w:w="4706"/>
      </w:tblGrid>
      <w:tr>
        <w:trPr>
          <w:tblHeader w:val="true"/>
        </w:trPr>
        <w:tc>
          <w:tcPr>
            <w:tcW w:w="4705"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Campo</w:t>
            </w:r>
          </w:p>
        </w:tc>
        <w:tc>
          <w:tcPr>
            <w:tcW w:w="4706"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Valore</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Task</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BIB-62 — Report dei test di regressione</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Fase</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6 — test post-modifica e regressione</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Criterio coperto</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CA-06 — assenza di regressioni non motivate</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Baseline pre-modifica</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 xml:space="preserve">tag </w:t>
            </w:r>
            <w:r>
              <w:rPr>
                <w:rStyle w:val="VerbatimChar"/>
                <w:kern w:val="0"/>
                <w:sz w:val="17"/>
                <w:szCs w:val="24"/>
                <w:lang w:val="it-IT" w:eastAsia="en-US" w:bidi="ar-SA"/>
              </w:rPr>
              <w:t>baseline-pre-cr-bf-01</w:t>
            </w:r>
            <w:r>
              <w:rPr>
                <w:kern w:val="0"/>
                <w:sz w:val="17"/>
                <w:szCs w:val="24"/>
                <w:lang w:val="it-IT" w:eastAsia="en-US" w:bidi="ar-SA"/>
              </w:rPr>
              <w:t xml:space="preserve"> (</w:t>
            </w:r>
            <w:r>
              <w:rPr>
                <w:rStyle w:val="VerbatimChar"/>
                <w:kern w:val="0"/>
                <w:sz w:val="17"/>
                <w:szCs w:val="24"/>
                <w:lang w:val="it-IT" w:eastAsia="en-US" w:bidi="ar-SA"/>
              </w:rPr>
              <w:t>e0742bf</w:t>
            </w:r>
            <w:r>
              <w:rPr>
                <w:kern w:val="0"/>
                <w:sz w:val="17"/>
                <w:szCs w:val="24"/>
                <w:lang w:val="it-IT" w:eastAsia="en-US" w:bidi="ar-SA"/>
              </w:rPr>
              <w:t>)</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Report di confronto</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docs/test/report-pre-modifica.md</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Classificazione dei casi</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docs/test/spec-post-modifica.md</w:t>
            </w:r>
            <w:r>
              <w:rPr>
                <w:kern w:val="0"/>
                <w:sz w:val="17"/>
                <w:szCs w:val="24"/>
                <w:lang w:val="it-IT" w:eastAsia="en-US" w:bidi="ar-SA"/>
              </w:rPr>
              <w:t xml:space="preserve"> (BIB-60)</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Versione verificata</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main</w:t>
            </w:r>
            <w:r>
              <w:rPr>
                <w:kern w:val="0"/>
                <w:sz w:val="17"/>
                <w:szCs w:val="24"/>
                <w:lang w:val="it-IT" w:eastAsia="en-US" w:bidi="ar-SA"/>
              </w:rPr>
              <w:t xml:space="preserve"> (</w:t>
            </w:r>
            <w:r>
              <w:rPr>
                <w:rStyle w:val="VerbatimChar"/>
                <w:kern w:val="0"/>
                <w:sz w:val="17"/>
                <w:szCs w:val="24"/>
                <w:lang w:val="it-IT" w:eastAsia="en-US" w:bidi="ar-SA"/>
              </w:rPr>
              <w:t>adc5e30</w:t>
            </w:r>
            <w:r>
              <w:rPr>
                <w:kern w:val="0"/>
                <w:sz w:val="17"/>
                <w:szCs w:val="24"/>
                <w:lang w:val="it-IT" w:eastAsia="en-US" w:bidi="ar-SA"/>
              </w:rPr>
              <w:t>) dopo il merge delle Fasi 4 e 5</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Data di esecuzione</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2026-09-04 CEST</w:t>
            </w:r>
            <w:bookmarkStart w:id="1" w:name="identificazione"/>
            <w:bookmarkEnd w:id="1"/>
          </w:p>
        </w:tc>
      </w:tr>
    </w:tbl>
    <w:p>
      <w:pPr>
        <w:pStyle w:val="Heading1"/>
        <w:rPr/>
      </w:pPr>
      <w:bookmarkStart w:id="2" w:name="__RefHeading___Toc17232_2049021629"/>
      <w:bookmarkEnd w:id="2"/>
      <w:r>
        <w:rPr/>
        <w:t>Scopo</w:t>
      </w:r>
    </w:p>
    <w:p>
      <w:pPr>
        <w:pStyle w:val="FirstParagraph"/>
        <w:rPr/>
      </w:pPr>
      <w:r>
        <w:rPr/>
        <w:t xml:space="preserve">Il documento registra la riesecuzione dei 20 casi classificati </w:t>
      </w:r>
      <w:r>
        <w:rPr>
          <w:b/>
          <w:bCs/>
        </w:rPr>
        <w:t>INVARIATI</w:t>
      </w:r>
      <w:r>
        <w:rPr/>
        <w:t xml:space="preserve"> nella specifica post-modifica. Il confronto è effettuato caso per caso con il report pre-modifica BIB-22, nel quale gli stessi casi risultavano tutti </w:t>
      </w:r>
      <w:r>
        <w:rPr>
          <w:rStyle w:val="VerbatimChar"/>
        </w:rPr>
        <w:t>PASS</w:t>
      </w:r>
      <w:r>
        <w:rPr/>
        <w:t>.</w:t>
      </w:r>
    </w:p>
    <w:p>
      <w:pPr>
        <w:pStyle w:val="BodyText"/>
        <w:rPr/>
      </w:pPr>
      <w:r>
        <w:rPr/>
        <w:t>Le aree richieste da BIB-62 sono inoltre ricondotte alle evidenze disponibili: login, profilo, catalogo libri, prestiti, check-in, area admin, notifiche preesistenti e PWA. Quando la baseline non contiene un caso comportamentale dedicato, il report distingue esplicitamente il controllo smoke/strutturale da un test end-to-end.</w:t>
      </w:r>
    </w:p>
    <w:p>
      <w:pPr>
        <w:pStyle w:val="Heading1"/>
        <w:rPr/>
      </w:pPr>
      <w:bookmarkStart w:id="3" w:name="__RefHeading___Toc17234_2049021629"/>
      <w:bookmarkStart w:id="4" w:name="ambiente-e-metodo"/>
      <w:bookmarkEnd w:id="3"/>
      <w:r>
        <w:rPr/>
        <w:t>Ambiente e metodo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705"/>
        <w:gridCol w:w="4706"/>
      </w:tblGrid>
      <w:tr>
        <w:trPr>
          <w:tblHeader w:val="true"/>
        </w:trPr>
        <w:tc>
          <w:tcPr>
            <w:tcW w:w="4705"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Componente</w:t>
            </w:r>
          </w:p>
        </w:tc>
        <w:tc>
          <w:tcPr>
            <w:tcW w:w="4706"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Versione/configurazione</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Sistema</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 xml:space="preserve">Windows 11 Pro </w:t>
            </w:r>
            <w:r>
              <w:rPr>
                <w:rStyle w:val="VerbatimChar"/>
                <w:kern w:val="0"/>
                <w:sz w:val="17"/>
                <w:szCs w:val="24"/>
                <w:lang w:val="it-IT" w:eastAsia="en-US" w:bidi="ar-SA"/>
              </w:rPr>
              <w:t>10.0.26200</w:t>
            </w:r>
            <w:r>
              <w:rPr>
                <w:kern w:val="0"/>
                <w:sz w:val="17"/>
                <w:szCs w:val="24"/>
                <w:lang w:val="it-IT" w:eastAsia="en-US" w:bidi="ar-SA"/>
              </w:rPr>
              <w:t xml:space="preserve">, timezone </w:t>
            </w:r>
            <w:r>
              <w:rPr>
                <w:rStyle w:val="VerbatimChar"/>
                <w:kern w:val="0"/>
                <w:sz w:val="17"/>
                <w:szCs w:val="24"/>
                <w:lang w:val="it-IT" w:eastAsia="en-US" w:bidi="ar-SA"/>
              </w:rPr>
              <w:t>Europe/Rome</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Node.js</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v22.12.0</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npm</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10.9.0</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Vitest</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4.1.11</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Docker</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29.1.3</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Database</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 xml:space="preserve">PostgreSQL </w:t>
            </w:r>
            <w:r>
              <w:rPr>
                <w:rStyle w:val="VerbatimChar"/>
                <w:kern w:val="0"/>
                <w:sz w:val="17"/>
                <w:szCs w:val="24"/>
                <w:lang w:val="it-IT" w:eastAsia="en-US" w:bidi="ar-SA"/>
              </w:rPr>
              <w:t>16-alpine</w:t>
            </w:r>
            <w:r>
              <w:rPr>
                <w:kern w:val="0"/>
                <w:sz w:val="17"/>
                <w:szCs w:val="24"/>
                <w:lang w:val="it-IT" w:eastAsia="en-US" w:bidi="ar-SA"/>
              </w:rPr>
              <w:t xml:space="preserve">, database isolato </w:t>
            </w:r>
            <w:r>
              <w:rPr>
                <w:rStyle w:val="VerbatimChar"/>
                <w:kern w:val="0"/>
                <w:sz w:val="17"/>
                <w:szCs w:val="24"/>
                <w:lang w:val="it-IT" w:eastAsia="en-US" w:bidi="ar-SA"/>
              </w:rPr>
              <w:t>biblioflow_test</w:t>
            </w:r>
            <w:r>
              <w:rPr>
                <w:kern w:val="0"/>
                <w:sz w:val="17"/>
                <w:szCs w:val="24"/>
                <w:lang w:val="it-IT" w:eastAsia="en-US" w:bidi="ar-SA"/>
              </w:rPr>
              <w:t xml:space="preserve"> su </w:t>
            </w:r>
            <w:r>
              <w:rPr>
                <w:rStyle w:val="VerbatimChar"/>
                <w:kern w:val="0"/>
                <w:sz w:val="17"/>
                <w:szCs w:val="24"/>
                <w:lang w:val="it-IT" w:eastAsia="en-US" w:bidi="ar-SA"/>
              </w:rPr>
              <w:t>127.0.0.1:5433</w:t>
            </w:r>
          </w:p>
        </w:tc>
      </w:tr>
      <w:tr>
        <w:trPr/>
        <w:tc>
          <w:tcPr>
            <w:tcW w:w="470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Schema</w:t>
            </w:r>
          </w:p>
        </w:tc>
        <w:tc>
          <w:tcPr>
            <w:tcW w:w="470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7/7 migrazioni applicate e fixture minima caricata</w:t>
            </w:r>
          </w:p>
        </w:tc>
      </w:tr>
    </w:tbl>
    <w:p>
      <w:pPr>
        <w:pStyle w:val="BodyText"/>
        <w:rPr/>
      </w:pPr>
      <w:r>
        <w:rPr/>
        <w:t xml:space="preserve">I casi invariati sono stati selezionati per ID, evitando di eseguire come regressione i 14 casi marcati </w:t>
      </w:r>
      <w:r>
        <w:rPr>
          <w:b/>
          <w:bCs/>
        </w:rPr>
        <w:t>MODIFICATI</w:t>
      </w:r>
      <w:r>
        <w:rPr/>
        <w:t xml:space="preserve">. La suite automazioni/notifiche pre-modifica invoca </w:t>
      </w:r>
      <w:r>
        <w:rPr>
          <w:rStyle w:val="VerbatimChar"/>
        </w:rPr>
        <w:t>prisma.cmd</w:t>
      </w:r>
      <w:r>
        <w:rPr/>
        <w:t xml:space="preserve"> con </w:t>
      </w:r>
      <w:r>
        <w:rPr>
          <w:rStyle w:val="VerbatimChar"/>
        </w:rPr>
        <w:t>shell: true</w:t>
      </w:r>
      <w:r>
        <w:rPr/>
        <w:t>: su Windows il setup non gestisce un percorso di lavoro contenente spazi. Per non alterare né i test né l’applicazione, la medesima working tree è stata esposta tramite un junction temporaneo privo di spazi e i cinque casi sono stati rieseguiti da lì.</w:t>
      </w:r>
    </w:p>
    <w:p>
      <w:pPr>
        <w:pStyle w:val="BodyText"/>
        <w:rPr/>
      </w:pPr>
      <w:r>
        <w:rPr/>
        <w:t>Comandi equivalenti usati:</w:t>
      </w:r>
    </w:p>
    <w:p>
      <w:pPr>
        <w:pStyle w:val="SourceCode"/>
        <w:rPr/>
      </w:pPr>
      <w:r>
        <w:rPr>
          <w:rStyle w:val="VerbatimChar"/>
        </w:rPr>
        <w:t>npx vitest run tests/pre-modifica/login.test.ts \</w:t>
      </w:r>
      <w:r>
        <w:rPr/>
        <w:br/>
      </w:r>
      <w:r>
        <w:rPr>
          <w:rStyle w:val="VerbatimChar"/>
        </w:rPr>
        <w:t xml:space="preserve">  tests/pre-modifica/admin-ui.test.ts \</w:t>
      </w:r>
      <w:r>
        <w:rPr/>
        <w:br/>
      </w:r>
      <w:r>
        <w:rPr>
          <w:rStyle w:val="VerbatimChar"/>
        </w:rPr>
        <w:t xml:space="preserve">  tests/pre-modifica/sse-posti.test.ts \</w:t>
      </w:r>
      <w:r>
        <w:rPr/>
        <w:br/>
      </w:r>
      <w:r>
        <w:rPr>
          <w:rStyle w:val="VerbatimChar"/>
        </w:rPr>
        <w:t xml:space="preserve">  -t "TC-PRE-01[1-9]|TC-PRE-020|TC-PRE-022|PRE-SSE-00[1-4]"</w:t>
      </w:r>
      <w:r>
        <w:rPr/>
        <w:br/>
        <w:br/>
      </w:r>
      <w:r>
        <w:rPr>
          <w:rStyle w:val="VerbatimChar"/>
        </w:rPr>
        <w:t>npx vitest run tests/pre-modifica/automation-notifications.test.ts \</w:t>
      </w:r>
      <w:r>
        <w:rPr/>
        <w:br/>
      </w:r>
      <w:r>
        <w:rPr>
          <w:rStyle w:val="VerbatimChar"/>
        </w:rPr>
        <w:t xml:space="preserve">  -t "PRE-AUT-00[124]|PRE-NOT-00[12]"</w:t>
      </w:r>
      <w:bookmarkEnd w:id="4"/>
    </w:p>
    <w:p>
      <w:pPr>
        <w:pStyle w:val="Heading1"/>
        <w:rPr/>
      </w:pPr>
      <w:bookmarkStart w:id="5" w:name="__RefHeading___Toc17236_2049021629"/>
      <w:bookmarkStart w:id="6" w:name="esito-complessivo-dei-casi-invariati"/>
      <w:bookmarkEnd w:id="5"/>
      <w:r>
        <w:rPr/>
        <w:t>Esito complessivo dei casi invariati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52"/>
        <w:gridCol w:w="2353"/>
        <w:gridCol w:w="2353"/>
        <w:gridCol w:w="2353"/>
      </w:tblGrid>
      <w:tr>
        <w:trPr/>
        <w:tc>
          <w:tcPr>
            <w:tcW w:w="2352"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Indicatore</w:t>
            </w:r>
          </w:p>
        </w:tc>
        <w:tc>
          <w:tcPr>
            <w:tcW w:w="2353"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right"/>
              <w:rPr>
                <w:kern w:val="0"/>
                <w:szCs w:val="24"/>
                <w:lang w:val="it-IT" w:eastAsia="en-US" w:bidi="ar-SA"/>
              </w:rPr>
            </w:pPr>
            <w:r>
              <w:rPr>
                <w:b/>
                <w:kern w:val="0"/>
                <w:sz w:val="17"/>
                <w:szCs w:val="24"/>
                <w:lang w:val="it-IT" w:eastAsia="en-US" w:bidi="ar-SA"/>
              </w:rPr>
              <w:t>Baseline</w:t>
            </w:r>
          </w:p>
        </w:tc>
        <w:tc>
          <w:tcPr>
            <w:tcW w:w="2353"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right"/>
              <w:rPr>
                <w:kern w:val="0"/>
                <w:szCs w:val="24"/>
                <w:lang w:val="it-IT" w:eastAsia="en-US" w:bidi="ar-SA"/>
              </w:rPr>
            </w:pPr>
            <w:r>
              <w:rPr>
                <w:b/>
                <w:kern w:val="0"/>
                <w:sz w:val="17"/>
                <w:szCs w:val="24"/>
                <w:lang w:val="it-IT" w:eastAsia="en-US" w:bidi="ar-SA"/>
              </w:rPr>
              <w:t>Post-modifica</w:t>
            </w:r>
          </w:p>
        </w:tc>
        <w:tc>
          <w:tcPr>
            <w:tcW w:w="2353"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Differenza</w:t>
            </w:r>
          </w:p>
        </w:tc>
      </w:tr>
      <w:tr>
        <w:trPr/>
        <w:tc>
          <w:tcPr>
            <w:tcW w:w="2352"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Casi invariati eseguiti</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right"/>
              <w:rPr>
                <w:kern w:val="0"/>
                <w:szCs w:val="24"/>
                <w:lang w:val="it-IT" w:eastAsia="en-US" w:bidi="ar-SA"/>
              </w:rPr>
            </w:pPr>
            <w:r>
              <w:rPr>
                <w:kern w:val="0"/>
                <w:sz w:val="17"/>
                <w:szCs w:val="24"/>
                <w:lang w:val="it-IT" w:eastAsia="en-US" w:bidi="ar-SA"/>
              </w:rPr>
              <w:t>20</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right"/>
              <w:rPr>
                <w:kern w:val="0"/>
                <w:szCs w:val="24"/>
                <w:lang w:val="it-IT" w:eastAsia="en-US" w:bidi="ar-SA"/>
              </w:rPr>
            </w:pPr>
            <w:r>
              <w:rPr>
                <w:kern w:val="0"/>
                <w:sz w:val="17"/>
                <w:szCs w:val="24"/>
                <w:lang w:val="it-IT" w:eastAsia="en-US" w:bidi="ar-SA"/>
              </w:rPr>
              <w:t>20</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0</w:t>
            </w:r>
          </w:p>
        </w:tc>
      </w:tr>
      <w:tr>
        <w:trPr/>
        <w:tc>
          <w:tcPr>
            <w:tcW w:w="2352"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Passati</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right"/>
              <w:rPr>
                <w:kern w:val="0"/>
                <w:szCs w:val="24"/>
                <w:lang w:val="it-IT" w:eastAsia="en-US" w:bidi="ar-SA"/>
              </w:rPr>
            </w:pPr>
            <w:r>
              <w:rPr>
                <w:kern w:val="0"/>
                <w:sz w:val="17"/>
                <w:szCs w:val="24"/>
                <w:lang w:val="it-IT" w:eastAsia="en-US" w:bidi="ar-SA"/>
              </w:rPr>
              <w:t>20</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right"/>
              <w:rPr>
                <w:kern w:val="0"/>
                <w:szCs w:val="24"/>
                <w:lang w:val="it-IT" w:eastAsia="en-US" w:bidi="ar-SA"/>
              </w:rPr>
            </w:pPr>
            <w:r>
              <w:rPr>
                <w:kern w:val="0"/>
                <w:sz w:val="17"/>
                <w:szCs w:val="24"/>
                <w:lang w:val="it-IT" w:eastAsia="en-US" w:bidi="ar-SA"/>
              </w:rPr>
              <w:t>20</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0</w:t>
            </w:r>
          </w:p>
        </w:tc>
      </w:tr>
      <w:tr>
        <w:trPr/>
        <w:tc>
          <w:tcPr>
            <w:tcW w:w="2352"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Falliti</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right"/>
              <w:rPr>
                <w:kern w:val="0"/>
                <w:szCs w:val="24"/>
                <w:lang w:val="it-IT" w:eastAsia="en-US" w:bidi="ar-SA"/>
              </w:rPr>
            </w:pPr>
            <w:r>
              <w:rPr>
                <w:kern w:val="0"/>
                <w:sz w:val="17"/>
                <w:szCs w:val="24"/>
                <w:lang w:val="it-IT" w:eastAsia="en-US" w:bidi="ar-SA"/>
              </w:rPr>
              <w:t>0</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right"/>
              <w:rPr>
                <w:kern w:val="0"/>
                <w:szCs w:val="24"/>
                <w:lang w:val="it-IT" w:eastAsia="en-US" w:bidi="ar-SA"/>
              </w:rPr>
            </w:pPr>
            <w:r>
              <w:rPr>
                <w:kern w:val="0"/>
                <w:sz w:val="17"/>
                <w:szCs w:val="24"/>
                <w:lang w:val="it-IT" w:eastAsia="en-US" w:bidi="ar-SA"/>
              </w:rPr>
              <w:t>0</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0</w:t>
            </w:r>
          </w:p>
        </w:tc>
      </w:tr>
      <w:tr>
        <w:trPr/>
        <w:tc>
          <w:tcPr>
            <w:tcW w:w="2352"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Saltati fra i casi selezionati</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right"/>
              <w:rPr>
                <w:kern w:val="0"/>
                <w:szCs w:val="24"/>
                <w:lang w:val="it-IT" w:eastAsia="en-US" w:bidi="ar-SA"/>
              </w:rPr>
            </w:pPr>
            <w:r>
              <w:rPr>
                <w:kern w:val="0"/>
                <w:sz w:val="17"/>
                <w:szCs w:val="24"/>
                <w:lang w:val="it-IT" w:eastAsia="en-US" w:bidi="ar-SA"/>
              </w:rPr>
              <w:t>0</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right"/>
              <w:rPr>
                <w:kern w:val="0"/>
                <w:szCs w:val="24"/>
                <w:lang w:val="it-IT" w:eastAsia="en-US" w:bidi="ar-SA"/>
              </w:rPr>
            </w:pPr>
            <w:r>
              <w:rPr>
                <w:kern w:val="0"/>
                <w:sz w:val="17"/>
                <w:szCs w:val="24"/>
                <w:lang w:val="it-IT" w:eastAsia="en-US" w:bidi="ar-SA"/>
              </w:rPr>
              <w:t>0</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0</w:t>
            </w:r>
          </w:p>
        </w:tc>
      </w:tr>
      <w:tr>
        <w:trPr/>
        <w:tc>
          <w:tcPr>
            <w:tcW w:w="2352"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Esito</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right"/>
              <w:rPr>
                <w:kern w:val="0"/>
                <w:szCs w:val="24"/>
                <w:lang w:val="it-IT" w:eastAsia="en-US" w:bidi="ar-SA"/>
              </w:rPr>
            </w:pPr>
            <w:r>
              <w:rPr>
                <w:kern w:val="0"/>
                <w:sz w:val="17"/>
                <w:szCs w:val="24"/>
                <w:lang w:val="it-IT" w:eastAsia="en-US" w:bidi="ar-SA"/>
              </w:rPr>
              <w:t>PASS</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right"/>
              <w:rPr>
                <w:kern w:val="0"/>
                <w:szCs w:val="24"/>
                <w:lang w:val="it-IT" w:eastAsia="en-US" w:bidi="ar-SA"/>
              </w:rPr>
            </w:pPr>
            <w:r>
              <w:rPr>
                <w:kern w:val="0"/>
                <w:sz w:val="17"/>
                <w:szCs w:val="24"/>
                <w:lang w:val="it-IT" w:eastAsia="en-US" w:bidi="ar-SA"/>
              </w:rPr>
              <w:t>PASS</w:t>
            </w:r>
          </w:p>
        </w:tc>
        <w:tc>
          <w:tcPr>
            <w:tcW w:w="2353"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 regressione</w:t>
            </w:r>
          </w:p>
        </w:tc>
      </w:tr>
    </w:tbl>
    <w:p>
      <w:pPr>
        <w:pStyle w:val="BodyText"/>
        <w:rPr/>
      </w:pPr>
      <w:r>
        <w:rPr/>
        <w:t xml:space="preserve">I casi mostrati come </w:t>
      </w:r>
      <w:r>
        <w:rPr>
          <w:rStyle w:val="VerbatimChar"/>
        </w:rPr>
        <w:t>skipped</w:t>
      </w:r>
      <w:r>
        <w:rPr/>
        <w:t xml:space="preserve"> da Vitest appartengono agli stessi file ma sono quelli classificati </w:t>
      </w:r>
      <w:r>
        <w:rPr>
          <w:b/>
          <w:bCs/>
        </w:rPr>
        <w:t>MODIFICATI</w:t>
      </w:r>
      <w:r>
        <w:rPr/>
        <w:t xml:space="preserve"> (</w:t>
      </w:r>
      <w:r>
        <w:rPr>
          <w:rStyle w:val="VerbatimChar"/>
        </w:rPr>
        <w:t>TC-PRE-021</w:t>
      </w:r>
      <w:r>
        <w:rPr/>
        <w:t xml:space="preserve">, </w:t>
      </w:r>
      <w:r>
        <w:rPr>
          <w:rStyle w:val="VerbatimChar"/>
        </w:rPr>
        <w:t>TC-PRE-023</w:t>
      </w:r>
      <w:r>
        <w:rPr/>
        <w:t xml:space="preserve">, </w:t>
      </w:r>
      <w:r>
        <w:rPr>
          <w:rStyle w:val="VerbatimChar"/>
        </w:rPr>
        <w:t>TC-PRE-024</w:t>
      </w:r>
      <w:r>
        <w:rPr/>
        <w:t xml:space="preserve">, </w:t>
      </w:r>
      <w:r>
        <w:rPr>
          <w:rStyle w:val="VerbatimChar"/>
        </w:rPr>
        <w:t>PRE-AUT-003</w:t>
      </w:r>
      <w:r>
        <w:rPr/>
        <w:t>); non fanno parte del denominatore di 20.</w:t>
      </w:r>
      <w:bookmarkEnd w:id="6"/>
    </w:p>
    <w:p>
      <w:pPr>
        <w:pStyle w:val="Heading1"/>
        <w:rPr/>
      </w:pPr>
      <w:bookmarkStart w:id="7" w:name="__RefHeading___Toc17238_2049021629"/>
      <w:bookmarkEnd w:id="7"/>
      <w:r>
        <w:rPr/>
        <w:t>Confronto caso per caso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86"/>
        <w:gridCol w:w="1485"/>
        <w:gridCol w:w="2477"/>
        <w:gridCol w:w="2477"/>
        <w:gridCol w:w="1487"/>
      </w:tblGrid>
      <w:tr>
        <w:trPr>
          <w:tblHeader w:val="true"/>
        </w:trPr>
        <w:tc>
          <w:tcPr>
            <w:tcW w:w="1486"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ID</w:t>
            </w:r>
          </w:p>
        </w:tc>
        <w:tc>
          <w:tcPr>
            <w:tcW w:w="1485"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Area</w:t>
            </w:r>
          </w:p>
        </w:tc>
        <w:tc>
          <w:tcPr>
            <w:tcW w:w="2477"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center"/>
              <w:rPr>
                <w:kern w:val="0"/>
                <w:szCs w:val="24"/>
                <w:lang w:val="it-IT" w:eastAsia="en-US" w:bidi="ar-SA"/>
              </w:rPr>
            </w:pPr>
            <w:r>
              <w:rPr>
                <w:b/>
                <w:kern w:val="0"/>
                <w:sz w:val="17"/>
                <w:szCs w:val="24"/>
                <w:lang w:val="it-IT" w:eastAsia="en-US" w:bidi="ar-SA"/>
              </w:rPr>
              <w:t>Baseline BIB-22</w:t>
            </w:r>
          </w:p>
        </w:tc>
        <w:tc>
          <w:tcPr>
            <w:tcW w:w="2477"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center"/>
              <w:rPr>
                <w:kern w:val="0"/>
                <w:szCs w:val="24"/>
                <w:lang w:val="it-IT" w:eastAsia="en-US" w:bidi="ar-SA"/>
              </w:rPr>
            </w:pPr>
            <w:r>
              <w:rPr>
                <w:b/>
                <w:kern w:val="0"/>
                <w:sz w:val="17"/>
                <w:szCs w:val="24"/>
                <w:lang w:val="it-IT" w:eastAsia="en-US" w:bidi="ar-SA"/>
              </w:rPr>
              <w:t>Post-modifica</w:t>
            </w:r>
          </w:p>
        </w:tc>
        <w:tc>
          <w:tcPr>
            <w:tcW w:w="1487"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Differenza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TC-PRE-011</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Login valido</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TC-PRE-012</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Password errata</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TC-PRE-013</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Account disattivato</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TC-PRE-014</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Redirect pagina admin anonima</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TC-PRE-015</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API admin anonima</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TC-PRE-016</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Accesso pagina con cookie</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TC-PRE-017</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Studente su statistiche admin</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TC-PRE-018</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Bibliotecario modifica stato utente</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TC-PRE-019</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Staff legge dettaglio utente</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TC-PRE-020</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Restituzione prestito</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TC-PRE-022</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Distribuzione no-show</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PRE-AUT-001</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Promemoria check-in</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PRE-AUT-002</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Idempotenza promemoria</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PRE-AUT-004</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Prenotazione già scaduta</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PRE-NOT-001</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Notifica posto disponibile</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PRE-NOT-002</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GET notifiche</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PRE-SSE-001</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Header e handshake SSE</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PRE-SSE-002</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Framing e isolamento canali SSE</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PRE-SSE-003</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 xml:space="preserve">Payload </w:t>
            </w:r>
            <w:r>
              <w:rPr>
                <w:rStyle w:val="VerbatimChar"/>
                <w:kern w:val="0"/>
                <w:sz w:val="17"/>
                <w:szCs w:val="24"/>
                <w:lang w:val="it-IT" w:eastAsia="en-US" w:bidi="ar-SA"/>
              </w:rPr>
              <w:t>posto-update</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p>
        </w:tc>
      </w:tr>
      <w:tr>
        <w:trPr/>
        <w:tc>
          <w:tcPr>
            <w:tcW w:w="1486"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PRE-SSE-004</w:t>
            </w:r>
          </w:p>
        </w:tc>
        <w:tc>
          <w:tcPr>
            <w:tcW w:w="1485"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Chiusura stream</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247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center"/>
              <w:rPr>
                <w:kern w:val="0"/>
                <w:szCs w:val="24"/>
                <w:lang w:val="it-IT" w:eastAsia="en-US" w:bidi="ar-SA"/>
              </w:rPr>
            </w:pPr>
            <w:r>
              <w:rPr>
                <w:kern w:val="0"/>
                <w:sz w:val="17"/>
                <w:szCs w:val="24"/>
                <w:lang w:val="it-IT" w:eastAsia="en-US" w:bidi="ar-SA"/>
              </w:rPr>
              <w:t>PASS</w:t>
            </w:r>
          </w:p>
        </w:tc>
        <w:tc>
          <w:tcPr>
            <w:tcW w:w="148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Nessuna</w:t>
            </w:r>
            <w:bookmarkStart w:id="8" w:name="confronto-caso-per-caso"/>
            <w:bookmarkEnd w:id="8"/>
          </w:p>
        </w:tc>
      </w:tr>
    </w:tbl>
    <w:p>
      <w:pPr>
        <w:pStyle w:val="Heading1"/>
        <w:rPr/>
      </w:pPr>
      <w:bookmarkStart w:id="9" w:name="__RefHeading___Toc17240_2049021629"/>
      <w:bookmarkEnd w:id="9"/>
      <w:r>
        <w:rPr/>
        <w:t>Copertura delle aree richieste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Area</w:t>
            </w:r>
          </w:p>
        </w:tc>
        <w:tc>
          <w:tcPr>
            <w:tcW w:w="3137"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Evidenza</w:t>
            </w:r>
          </w:p>
        </w:tc>
        <w:tc>
          <w:tcPr>
            <w:tcW w:w="3138" w:type="dxa"/>
            <w:tcBorders>
              <w:top w:val="single" w:sz="4" w:space="0" w:color="B8C2D0"/>
              <w:left w:val="single" w:sz="4" w:space="0" w:color="B8C2D0"/>
              <w:bottom w:val="single" w:sz="6" w:space="0" w:color="000000"/>
              <w:right w:val="single" w:sz="4" w:space="0" w:color="B8C2D0"/>
            </w:tcBorders>
            <w:shd w:color="auto" w:fill="E3E9F2" w:val="clear"/>
            <w:vAlign w:val="bottom"/>
          </w:tcPr>
          <w:p>
            <w:pPr>
              <w:pStyle w:val="Compact"/>
              <w:widowControl/>
              <w:spacing w:before="20" w:after="20"/>
              <w:jc w:val="left"/>
              <w:rPr>
                <w:kern w:val="0"/>
                <w:szCs w:val="24"/>
                <w:lang w:val="it-IT" w:eastAsia="en-US" w:bidi="ar-SA"/>
              </w:rPr>
            </w:pPr>
            <w:r>
              <w:rPr>
                <w:b/>
                <w:kern w:val="0"/>
                <w:sz w:val="17"/>
                <w:szCs w:val="24"/>
                <w:lang w:val="it-IT" w:eastAsia="en-US" w:bidi="ar-SA"/>
              </w:rPr>
              <w:t>Esito e limite</w:t>
            </w:r>
          </w:p>
        </w:tc>
      </w:tr>
      <w:tr>
        <w:trPr/>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Login</w:t>
            </w:r>
          </w:p>
        </w:tc>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TC-PRE-011</w:t>
            </w:r>
            <w:r>
              <w:rPr>
                <w:kern w:val="0"/>
                <w:sz w:val="17"/>
                <w:szCs w:val="24"/>
                <w:lang w:val="it-IT" w:eastAsia="en-US" w:bidi="ar-SA"/>
              </w:rPr>
              <w:t>–</w:t>
            </w:r>
            <w:r>
              <w:rPr>
                <w:rStyle w:val="VerbatimChar"/>
                <w:kern w:val="0"/>
                <w:sz w:val="17"/>
                <w:szCs w:val="24"/>
                <w:lang w:val="it-IT" w:eastAsia="en-US" w:bidi="ar-SA"/>
              </w:rPr>
              <w:t>013</w:t>
            </w:r>
            <w:r>
              <w:rPr>
                <w:kern w:val="0"/>
                <w:sz w:val="17"/>
                <w:szCs w:val="24"/>
                <w:lang w:val="it-IT" w:eastAsia="en-US" w:bidi="ar-SA"/>
              </w:rPr>
              <w:t xml:space="preserve">; smoke </w:t>
            </w:r>
            <w:r>
              <w:rPr>
                <w:rStyle w:val="VerbatimChar"/>
                <w:kern w:val="0"/>
                <w:sz w:val="17"/>
                <w:szCs w:val="24"/>
                <w:lang w:val="it-IT" w:eastAsia="en-US" w:bidi="ar-SA"/>
              </w:rPr>
              <w:t>/login</w:t>
            </w:r>
            <w:r>
              <w:rPr>
                <w:kern w:val="0"/>
                <w:sz w:val="17"/>
                <w:szCs w:val="24"/>
                <w:lang w:val="it-IT" w:eastAsia="en-US" w:bidi="ar-SA"/>
              </w:rPr>
              <w:t xml:space="preserve"> HTTP 200</w:t>
            </w:r>
          </w:p>
        </w:tc>
        <w:tc>
          <w:tcPr>
            <w:tcW w:w="3138"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PASS, evidenza comportamentale automatizzata</w:t>
            </w:r>
          </w:p>
        </w:tc>
      </w:tr>
      <w:tr>
        <w:trPr/>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Profilo</w:t>
            </w:r>
          </w:p>
        </w:tc>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 xml:space="preserve">build statica della route </w:t>
            </w:r>
            <w:r>
              <w:rPr>
                <w:rStyle w:val="VerbatimChar"/>
                <w:kern w:val="0"/>
                <w:sz w:val="17"/>
                <w:szCs w:val="24"/>
                <w:lang w:val="it-IT" w:eastAsia="en-US" w:bidi="ar-SA"/>
              </w:rPr>
              <w:t>/profilo</w:t>
            </w:r>
            <w:r>
              <w:rPr>
                <w:kern w:val="0"/>
                <w:sz w:val="17"/>
                <w:szCs w:val="24"/>
                <w:lang w:val="it-IT" w:eastAsia="en-US" w:bidi="ar-SA"/>
              </w:rPr>
              <w:t>; smoke HTTP 200 con cookie; nessun diff applicativo rispetto alla baseline</w:t>
            </w:r>
          </w:p>
        </w:tc>
        <w:tc>
          <w:tcPr>
            <w:tcW w:w="3138"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PASS strutturale; la baseline non definiva un caso E2E autonomo</w:t>
            </w:r>
          </w:p>
        </w:tc>
      </w:tr>
      <w:tr>
        <w:trPr/>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Catalogo libri</w:t>
            </w:r>
          </w:p>
        </w:tc>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 xml:space="preserve">build delle route </w:t>
            </w:r>
            <w:r>
              <w:rPr>
                <w:rStyle w:val="VerbatimChar"/>
                <w:kern w:val="0"/>
                <w:sz w:val="17"/>
                <w:szCs w:val="24"/>
                <w:lang w:val="it-IT" w:eastAsia="en-US" w:bidi="ar-SA"/>
              </w:rPr>
              <w:t>/libri</w:t>
            </w:r>
            <w:r>
              <w:rPr>
                <w:kern w:val="0"/>
                <w:sz w:val="17"/>
                <w:szCs w:val="24"/>
                <w:lang w:val="it-IT" w:eastAsia="en-US" w:bidi="ar-SA"/>
              </w:rPr>
              <w:t xml:space="preserve"> e </w:t>
            </w:r>
            <w:r>
              <w:rPr>
                <w:rStyle w:val="VerbatimChar"/>
                <w:kern w:val="0"/>
                <w:sz w:val="17"/>
                <w:szCs w:val="24"/>
                <w:lang w:val="it-IT" w:eastAsia="en-US" w:bidi="ar-SA"/>
              </w:rPr>
              <w:t>/libri/[id]</w:t>
            </w:r>
            <w:r>
              <w:rPr>
                <w:kern w:val="0"/>
                <w:sz w:val="17"/>
                <w:szCs w:val="24"/>
                <w:lang w:val="it-IT" w:eastAsia="en-US" w:bidi="ar-SA"/>
              </w:rPr>
              <w:t xml:space="preserve">; smoke </w:t>
            </w:r>
            <w:r>
              <w:rPr>
                <w:rStyle w:val="VerbatimChar"/>
                <w:kern w:val="0"/>
                <w:sz w:val="17"/>
                <w:szCs w:val="24"/>
                <w:lang w:val="it-IT" w:eastAsia="en-US" w:bidi="ar-SA"/>
              </w:rPr>
              <w:t>/libri</w:t>
            </w:r>
            <w:r>
              <w:rPr>
                <w:kern w:val="0"/>
                <w:sz w:val="17"/>
                <w:szCs w:val="24"/>
                <w:lang w:val="it-IT" w:eastAsia="en-US" w:bidi="ar-SA"/>
              </w:rPr>
              <w:t xml:space="preserve"> HTTP 200</w:t>
            </w:r>
          </w:p>
        </w:tc>
        <w:tc>
          <w:tcPr>
            <w:tcW w:w="3138"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PASS strutturale; l’unico diff è l’escape HTML di una citazione, senza cambio funzionale</w:t>
            </w:r>
          </w:p>
        </w:tc>
      </w:tr>
      <w:tr>
        <w:trPr/>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Prestiti</w:t>
            </w:r>
          </w:p>
        </w:tc>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TC-PRE-020</w:t>
            </w:r>
            <w:r>
              <w:rPr>
                <w:kern w:val="0"/>
                <w:sz w:val="17"/>
                <w:szCs w:val="24"/>
                <w:lang w:val="it-IT" w:eastAsia="en-US" w:bidi="ar-SA"/>
              </w:rPr>
              <w:t xml:space="preserve">; build e smoke </w:t>
            </w:r>
            <w:r>
              <w:rPr>
                <w:rStyle w:val="VerbatimChar"/>
                <w:kern w:val="0"/>
                <w:sz w:val="17"/>
                <w:szCs w:val="24"/>
                <w:lang w:val="it-IT" w:eastAsia="en-US" w:bidi="ar-SA"/>
              </w:rPr>
              <w:t>/prestiti</w:t>
            </w:r>
            <w:r>
              <w:rPr>
                <w:kern w:val="0"/>
                <w:sz w:val="17"/>
                <w:szCs w:val="24"/>
                <w:lang w:val="it-IT" w:eastAsia="en-US" w:bidi="ar-SA"/>
              </w:rPr>
              <w:t xml:space="preserve"> HTTP 200</w:t>
            </w:r>
          </w:p>
        </w:tc>
        <w:tc>
          <w:tcPr>
            <w:tcW w:w="3138"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PASS, restituzione verificata con stato, log e notifica</w:t>
            </w:r>
          </w:p>
        </w:tc>
      </w:tr>
      <w:tr>
        <w:trPr/>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Check-in</w:t>
            </w:r>
          </w:p>
        </w:tc>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PRE-AUT-001</w:t>
            </w:r>
            <w:r>
              <w:rPr>
                <w:kern w:val="0"/>
                <w:sz w:val="17"/>
                <w:szCs w:val="24"/>
                <w:lang w:val="it-IT" w:eastAsia="en-US" w:bidi="ar-SA"/>
              </w:rPr>
              <w:t>; suite post-modifica completa e aggregato auth su tutte le operazioni protette</w:t>
            </w:r>
          </w:p>
        </w:tc>
        <w:tc>
          <w:tcPr>
            <w:tcW w:w="3138"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PASS per reminder e protezione route; il comportamento dedicato è intenzionalmente modificato da CR-BF-01</w:t>
            </w:r>
          </w:p>
        </w:tc>
      </w:tr>
      <w:tr>
        <w:trPr/>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Area admin</w:t>
            </w:r>
          </w:p>
        </w:tc>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TC-PRE-014</w:t>
            </w:r>
            <w:r>
              <w:rPr>
                <w:kern w:val="0"/>
                <w:sz w:val="17"/>
                <w:szCs w:val="24"/>
                <w:lang w:val="it-IT" w:eastAsia="en-US" w:bidi="ar-SA"/>
              </w:rPr>
              <w:t>–</w:t>
            </w:r>
            <w:r>
              <w:rPr>
                <w:rStyle w:val="VerbatimChar"/>
                <w:kern w:val="0"/>
                <w:sz w:val="17"/>
                <w:szCs w:val="24"/>
                <w:lang w:val="it-IT" w:eastAsia="en-US" w:bidi="ar-SA"/>
              </w:rPr>
              <w:t>020</w:t>
            </w:r>
            <w:r>
              <w:rPr>
                <w:kern w:val="0"/>
                <w:sz w:val="17"/>
                <w:szCs w:val="24"/>
                <w:lang w:val="it-IT" w:eastAsia="en-US" w:bidi="ar-SA"/>
              </w:rPr>
              <w:t xml:space="preserve">, </w:t>
            </w:r>
            <w:r>
              <w:rPr>
                <w:rStyle w:val="VerbatimChar"/>
                <w:kern w:val="0"/>
                <w:sz w:val="17"/>
                <w:szCs w:val="24"/>
                <w:lang w:val="it-IT" w:eastAsia="en-US" w:bidi="ar-SA"/>
              </w:rPr>
              <w:t>TC-PRE-022</w:t>
            </w:r>
          </w:p>
        </w:tc>
        <w:tc>
          <w:tcPr>
            <w:tcW w:w="3138"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8/8 PASS per i comportamenti invariati</w:t>
            </w:r>
          </w:p>
        </w:tc>
      </w:tr>
      <w:tr>
        <w:trPr/>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Notifiche preesistenti</w:t>
            </w:r>
          </w:p>
        </w:tc>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PRE-NOT-001</w:t>
            </w:r>
            <w:r>
              <w:rPr>
                <w:kern w:val="0"/>
                <w:sz w:val="17"/>
                <w:szCs w:val="24"/>
                <w:lang w:val="it-IT" w:eastAsia="en-US" w:bidi="ar-SA"/>
              </w:rPr>
              <w:t xml:space="preserve">, </w:t>
            </w:r>
            <w:r>
              <w:rPr>
                <w:rStyle w:val="VerbatimChar"/>
                <w:kern w:val="0"/>
                <w:sz w:val="17"/>
                <w:szCs w:val="24"/>
                <w:lang w:val="it-IT" w:eastAsia="en-US" w:bidi="ar-SA"/>
              </w:rPr>
              <w:t>PRE-NOT-002</w:t>
            </w:r>
          </w:p>
        </w:tc>
        <w:tc>
          <w:tcPr>
            <w:tcW w:w="3138"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2/2 PASS</w:t>
            </w:r>
          </w:p>
        </w:tc>
      </w:tr>
      <w:tr>
        <w:trPr/>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PWA</w:t>
            </w:r>
          </w:p>
        </w:tc>
        <w:tc>
          <w:tcPr>
            <w:tcW w:w="3137"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rStyle w:val="VerbatimChar"/>
                <w:kern w:val="0"/>
                <w:sz w:val="17"/>
                <w:szCs w:val="24"/>
                <w:lang w:val="it-IT" w:eastAsia="en-US" w:bidi="ar-SA"/>
              </w:rPr>
              <w:t>manifest.json</w:t>
            </w:r>
            <w:r>
              <w:rPr>
                <w:kern w:val="0"/>
                <w:sz w:val="17"/>
                <w:szCs w:val="24"/>
                <w:lang w:val="it-IT" w:eastAsia="en-US" w:bidi="ar-SA"/>
              </w:rPr>
              <w:t xml:space="preserve">, </w:t>
            </w:r>
            <w:r>
              <w:rPr>
                <w:rStyle w:val="VerbatimChar"/>
                <w:kern w:val="0"/>
                <w:sz w:val="17"/>
                <w:szCs w:val="24"/>
                <w:lang w:val="it-IT" w:eastAsia="en-US" w:bidi="ar-SA"/>
              </w:rPr>
              <w:t>sw.js</w:t>
            </w:r>
            <w:r>
              <w:rPr>
                <w:kern w:val="0"/>
                <w:sz w:val="17"/>
                <w:szCs w:val="24"/>
                <w:lang w:val="it-IT" w:eastAsia="en-US" w:bidi="ar-SA"/>
              </w:rPr>
              <w:t xml:space="preserve">, </w:t>
            </w:r>
            <w:r>
              <w:rPr>
                <w:rStyle w:val="VerbatimChar"/>
                <w:kern w:val="0"/>
                <w:sz w:val="17"/>
                <w:szCs w:val="24"/>
                <w:lang w:val="it-IT" w:eastAsia="en-US" w:bidi="ar-SA"/>
              </w:rPr>
              <w:t>offline.html</w:t>
            </w:r>
            <w:r>
              <w:rPr>
                <w:kern w:val="0"/>
                <w:sz w:val="17"/>
                <w:szCs w:val="24"/>
                <w:lang w:val="it-IT" w:eastAsia="en-US" w:bidi="ar-SA"/>
              </w:rPr>
              <w:t>, registrazione provider e build</w:t>
            </w:r>
          </w:p>
        </w:tc>
        <w:tc>
          <w:tcPr>
            <w:tcW w:w="3138" w:type="dxa"/>
            <w:tcBorders>
              <w:top w:val="single" w:sz="4" w:space="0" w:color="B8C2D0"/>
              <w:left w:val="single" w:sz="4" w:space="0" w:color="B8C2D0"/>
              <w:bottom w:val="single" w:sz="4" w:space="0" w:color="B8C2D0"/>
              <w:right w:val="single" w:sz="4" w:space="0" w:color="B8C2D0"/>
            </w:tcBorders>
          </w:tcPr>
          <w:p>
            <w:pPr>
              <w:pStyle w:val="Compact"/>
              <w:widowControl/>
              <w:spacing w:before="20" w:after="20"/>
              <w:jc w:val="left"/>
              <w:rPr>
                <w:kern w:val="0"/>
                <w:szCs w:val="24"/>
                <w:lang w:val="it-IT" w:eastAsia="en-US" w:bidi="ar-SA"/>
              </w:rPr>
            </w:pPr>
            <w:r>
              <w:rPr>
                <w:kern w:val="0"/>
                <w:sz w:val="17"/>
                <w:szCs w:val="24"/>
                <w:lang w:val="it-IT" w:eastAsia="en-US" w:bidi="ar-SA"/>
              </w:rPr>
              <w:t>PASS per asset core; limite storico sugli screenshot descritto sotto</w:t>
            </w:r>
          </w:p>
        </w:tc>
      </w:tr>
    </w:tbl>
    <w:p>
      <w:pPr>
        <w:pStyle w:val="BodyText"/>
        <w:rPr/>
      </w:pPr>
      <w:r>
        <w:rPr/>
        <w:t xml:space="preserve">Le route protette </w:t>
      </w:r>
      <w:r>
        <w:rPr>
          <w:rStyle w:val="VerbatimChar"/>
        </w:rPr>
        <w:t>/profilo</w:t>
      </w:r>
      <w:r>
        <w:rPr/>
        <w:t xml:space="preserve">, </w:t>
      </w:r>
      <w:r>
        <w:rPr>
          <w:rStyle w:val="VerbatimChar"/>
        </w:rPr>
        <w:t>/libri</w:t>
      </w:r>
      <w:r>
        <w:rPr/>
        <w:t xml:space="preserve">, </w:t>
      </w:r>
      <w:r>
        <w:rPr>
          <w:rStyle w:val="VerbatimChar"/>
        </w:rPr>
        <w:t>/prestiti</w:t>
      </w:r>
      <w:r>
        <w:rPr/>
        <w:t xml:space="preserve">, </w:t>
      </w:r>
      <w:r>
        <w:rPr>
          <w:rStyle w:val="VerbatimChar"/>
        </w:rPr>
        <w:t>/prenotazioni</w:t>
      </w:r>
      <w:r>
        <w:rPr/>
        <w:t xml:space="preserve"> e </w:t>
      </w:r>
      <w:r>
        <w:rPr>
          <w:rStyle w:val="VerbatimChar"/>
        </w:rPr>
        <w:t>/admin</w:t>
      </w:r>
      <w:r>
        <w:rPr/>
        <w:t xml:space="preserve"> rispondono </w:t>
      </w:r>
      <w:r>
        <w:rPr>
          <w:rStyle w:val="VerbatimChar"/>
        </w:rPr>
        <w:t>307</w:t>
      </w:r>
      <w:r>
        <w:rPr/>
        <w:t xml:space="preserve"> verso </w:t>
      </w:r>
      <w:r>
        <w:rPr>
          <w:rStyle w:val="VerbatimChar"/>
        </w:rPr>
        <w:t>/login</w:t>
      </w:r>
      <w:r>
        <w:rPr/>
        <w:t xml:space="preserve"> senza cookie, come previsto dal middleware. Con un cookie di sessione presente, le route studente sottoposte a smoke rispondono </w:t>
      </w:r>
      <w:r>
        <w:rPr>
          <w:rStyle w:val="VerbatimChar"/>
        </w:rPr>
        <w:t>200</w:t>
      </w:r>
      <w:r>
        <w:rPr/>
        <w:t>; l’autenticità e il ruolo del token vengono verificati dai route handler e dai test di autorizzazione, non dallo smoke HTTP.</w:t>
      </w:r>
    </w:p>
    <w:p>
      <w:pPr>
        <w:pStyle w:val="Heading1"/>
        <w:rPr/>
      </w:pPr>
      <w:bookmarkStart w:id="10" w:name="__RefHeading___Toc17242_2049021629"/>
      <w:bookmarkStart w:id="11" w:name="differenze-osservate-e-motivazione"/>
      <w:bookmarkEnd w:id="10"/>
      <w:r>
        <w:rPr/>
        <w:t>Differenze osservate e motivazione</w:t>
      </w:r>
    </w:p>
    <w:p>
      <w:pPr>
        <w:pStyle w:val="Heading2"/>
        <w:rPr/>
      </w:pPr>
      <w:bookmarkStart w:id="12" w:name="__RefHeading___Toc17244_2049021629"/>
      <w:bookmarkStart w:id="13" w:name="differenze-volute"/>
      <w:bookmarkEnd w:id="12"/>
      <w:r>
        <w:rPr/>
        <w:t>Differenze volute</w:t>
      </w:r>
    </w:p>
    <w:p>
      <w:pPr>
        <w:pStyle w:val="FirstParagraph"/>
        <w:rPr/>
      </w:pPr>
      <w:r>
        <w:rPr/>
        <w:t xml:space="preserve">I casi </w:t>
      </w:r>
      <w:r>
        <w:rPr>
          <w:rStyle w:val="VerbatimChar"/>
        </w:rPr>
        <w:t>TC-PRE-007</w:t>
      </w:r>
      <w:r>
        <w:rPr/>
        <w:t xml:space="preserve"> e </w:t>
      </w:r>
      <w:r>
        <w:rPr>
          <w:rStyle w:val="VerbatimChar"/>
        </w:rPr>
        <w:t>TC-PRE-008</w:t>
      </w:r>
      <w:r>
        <w:rPr/>
        <w:t xml:space="preserve"> non sono invariati: BIB-60 li classifica </w:t>
      </w:r>
      <w:r>
        <w:rPr>
          <w:b/>
          <w:bCs/>
        </w:rPr>
        <w:t>MODIFICATI</w:t>
      </w:r>
      <w:r>
        <w:rPr/>
        <w:t xml:space="preserve"> perché il check-in dedicato ricompone correttamente data e ora e perché sia il percorso dedicato sia quello legacy applicano autenticazione e ownership. La differenza rispetto alla baseline, che caratterizzava un difetto, è quindi un miglioramento richiesto dalla CR-BF-01 e viene verificata nella suite post-modifica BIB-61.</w:t>
      </w:r>
    </w:p>
    <w:p>
      <w:pPr>
        <w:pStyle w:val="BodyText"/>
        <w:rPr/>
      </w:pPr>
      <w:r>
        <w:rPr/>
        <w:t xml:space="preserve">Il solo file del catalogo cambiato dalla baseline, </w:t>
      </w:r>
      <w:r>
        <w:rPr>
          <w:rStyle w:val="VerbatimChar"/>
        </w:rPr>
        <w:t>src/app/libri/[id]/page.tsx</w:t>
      </w:r>
      <w:r>
        <w:rPr/>
        <w:t>, sostituisce virgolette letterali con entità HTML per soddisfare il lint. Non cambia dati, chiamate API o flusso utente: differenza non funzionale e voluta.</w:t>
      </w:r>
      <w:bookmarkEnd w:id="13"/>
    </w:p>
    <w:p>
      <w:pPr>
        <w:pStyle w:val="Heading2"/>
        <w:rPr/>
      </w:pPr>
      <w:bookmarkStart w:id="14" w:name="__RefHeading___Toc17246_2049021629"/>
      <w:bookmarkStart w:id="15" w:name="X57db3b63f7f7174477f70a15bbf740b0d77a323"/>
      <w:bookmarkEnd w:id="14"/>
      <w:r>
        <w:rPr/>
        <w:t>Limiti preesistenti, non regressioni CR-BF-01</w:t>
      </w:r>
    </w:p>
    <w:p>
      <w:pPr>
        <w:pStyle w:val="FirstParagraph"/>
        <w:rPr/>
      </w:pPr>
      <w:r>
        <w:rPr/>
        <w:t xml:space="preserve">Il manifest PWA e il service worker sono serviti correttamente a un utente con sessione: </w:t>
      </w:r>
      <w:r>
        <w:rPr>
          <w:rStyle w:val="VerbatimChar"/>
        </w:rPr>
        <w:t>manifest.json</w:t>
      </w:r>
      <w:r>
        <w:rPr/>
        <w:t xml:space="preserve"> HTTP 200 e JSON valido (</w:t>
      </w:r>
      <w:r>
        <w:rPr>
          <w:rStyle w:val="VerbatimChar"/>
        </w:rPr>
        <w:t>display: standalone</w:t>
      </w:r>
      <w:r>
        <w:rPr/>
        <w:t xml:space="preserve">, 3 icone, 3 shortcut), </w:t>
      </w:r>
      <w:r>
        <w:rPr>
          <w:rStyle w:val="VerbatimChar"/>
        </w:rPr>
        <w:t>sw.js</w:t>
      </w:r>
      <w:r>
        <w:rPr/>
        <w:t xml:space="preserve"> HTTP 200 e </w:t>
      </w:r>
      <w:r>
        <w:rPr>
          <w:rStyle w:val="VerbatimChar"/>
        </w:rPr>
        <w:t>offline.html</w:t>
      </w:r>
      <w:r>
        <w:rPr/>
        <w:t xml:space="preserve"> HTTP 200. Senza sessione, </w:t>
      </w:r>
      <w:r>
        <w:rPr>
          <w:rStyle w:val="VerbatimChar"/>
        </w:rPr>
        <w:t>manifest.json</w:t>
      </w:r>
      <w:r>
        <w:rPr/>
        <w:t xml:space="preserve"> e </w:t>
      </w:r>
      <w:r>
        <w:rPr>
          <w:rStyle w:val="VerbatimChar"/>
        </w:rPr>
        <w:t>offline.html</w:t>
      </w:r>
      <w:r>
        <w:rPr/>
        <w:t xml:space="preserve"> sono reindirizzati al login dal middleware. Inoltre il manifest dichiara due screenshot (</w:t>
      </w:r>
      <w:r>
        <w:rPr>
          <w:rStyle w:val="VerbatimChar"/>
        </w:rPr>
        <w:t>home.png</w:t>
      </w:r>
      <w:r>
        <w:rPr/>
        <w:t xml:space="preserve"> e </w:t>
      </w:r>
      <w:r>
        <w:rPr>
          <w:rStyle w:val="VerbatimChar"/>
        </w:rPr>
        <w:t>prenota.png</w:t>
      </w:r>
      <w:r>
        <w:rPr/>
        <w:t xml:space="preserve">) che non esistono in </w:t>
      </w:r>
      <w:r>
        <w:rPr>
          <w:rStyle w:val="VerbatimChar"/>
        </w:rPr>
        <w:t>public/screenshots</w:t>
      </w:r>
      <w:r>
        <w:rPr/>
        <w:t>.</w:t>
      </w:r>
    </w:p>
    <w:p>
      <w:pPr>
        <w:pStyle w:val="BodyText"/>
        <w:rPr/>
      </w:pPr>
      <w:r>
        <w:rPr/>
        <w:t xml:space="preserve">Il confronto Git con </w:t>
      </w:r>
      <w:r>
        <w:rPr>
          <w:rStyle w:val="VerbatimChar"/>
        </w:rPr>
        <w:t>baseline-pre-cr-bf-01</w:t>
      </w:r>
      <w:r>
        <w:rPr/>
        <w:t xml:space="preserve"> dimostra che manifest, matcher del middleware e assenza dei due screenshot erano già presenti prima della change request. Sono quindi limiti storici della PWA, non regressioni introdotte dalle Fasi 2–5. Non impediscono il caricamento degli asset core per l’utente autenticato, ma meritano una task separata se si richiede installabilità completa anche prima del login e una scheda PWA senza risorse mancanti.</w:t>
      </w:r>
      <w:bookmarkEnd w:id="15"/>
    </w:p>
    <w:p>
      <w:pPr>
        <w:pStyle w:val="Heading2"/>
        <w:rPr/>
      </w:pPr>
      <w:bookmarkStart w:id="16" w:name="__RefHeading___Toc17248_2049021629"/>
      <w:bookmarkStart w:id="17" w:name="X820af080a7ebd3f3308f75dbc9fc5dc628f00e9"/>
      <w:bookmarkEnd w:id="16"/>
      <w:r>
        <w:rPr/>
        <w:t xml:space="preserve">Perché </w:t>
      </w:r>
      <w:r>
        <w:rPr>
          <w:rStyle w:val="VerbatimChar"/>
        </w:rPr>
        <w:t>npx vitest run</w:t>
      </w:r>
      <w:r>
        <w:rPr/>
        <w:t xml:space="preserve"> mostra molti errori</w:t>
      </w:r>
    </w:p>
    <w:p>
      <w:pPr>
        <w:pStyle w:val="FirstParagraph"/>
        <w:rPr/>
      </w:pPr>
      <w:r>
        <w:rPr/>
        <w:t xml:space="preserve">Lanciare Vitest senza il filtro di progetto include anche tutti i 34 test di caratterizzazione pre-modifica. Gli 11 errori osservati in quella modalità provengono dai casi </w:t>
      </w:r>
      <w:r>
        <w:rPr>
          <w:rStyle w:val="VerbatimChar"/>
        </w:rPr>
        <w:t>TC-PRE-001</w:t>
      </w:r>
      <w:r>
        <w:rPr/>
        <w:t>–</w:t>
      </w:r>
      <w:r>
        <w:rPr>
          <w:rStyle w:val="VerbatimChar"/>
        </w:rPr>
        <w:t>010</w:t>
      </w:r>
      <w:r>
        <w:rPr/>
        <w:t xml:space="preserve"> e dal setup Windows: i mock storici non esportano il nuovo </w:t>
      </w:r>
      <w:r>
        <w:rPr>
          <w:rStyle w:val="VerbatimChar"/>
        </w:rPr>
        <w:t>AuthError</w:t>
      </w:r>
      <w:r>
        <w:rPr/>
        <w:t xml:space="preserve"> usato dalle route post-modifica. Quei casi sono stati classificati </w:t>
      </w:r>
      <w:r>
        <w:rPr>
          <w:b/>
          <w:bCs/>
        </w:rPr>
        <w:t>MODIFICATI</w:t>
      </w:r>
      <w:r>
        <w:rPr/>
        <w:t>, non devono essere interpretati come esito della suite corrente e non costituiscono regressioni.</w:t>
      </w:r>
    </w:p>
    <w:p>
      <w:pPr>
        <w:pStyle w:val="BodyText"/>
        <w:rPr/>
      </w:pPr>
      <w:r>
        <w:rPr/>
        <w:t>La suite ufficiale post-modifica eseguita in BIB-61 resta separata e ha prodotto:</w:t>
      </w:r>
    </w:p>
    <w:p>
      <w:pPr>
        <w:pStyle w:val="SourceCode"/>
        <w:rPr/>
      </w:pPr>
      <w:r>
        <w:rPr>
          <w:rStyle w:val="VerbatimChar"/>
        </w:rPr>
        <w:t>Test Files  21 passed (21)</w:t>
      </w:r>
      <w:r>
        <w:rPr/>
        <w:br/>
      </w:r>
      <w:r>
        <w:rPr>
          <w:rStyle w:val="VerbatimChar"/>
        </w:rPr>
        <w:t>Tests       179 passed | 2 expected fail (181)</w:t>
      </w:r>
    </w:p>
    <w:p>
      <w:pPr>
        <w:pStyle w:val="FirstParagraph"/>
        <w:rPr/>
      </w:pPr>
      <w:r>
        <w:rPr/>
        <w:t xml:space="preserve">I due </w:t>
      </w:r>
      <w:r>
        <w:rPr>
          <w:rStyle w:val="VerbatimChar"/>
        </w:rPr>
        <w:t>expected fail</w:t>
      </w:r>
      <w:r>
        <w:rPr/>
        <w:t xml:space="preserve"> riguardano target di sicurezza BIB-57/CA-01 e sono già registrati nel report delle parti modificate; non appartengono ai 20 casi invariati di CA-06.</w:t>
      </w:r>
      <w:bookmarkEnd w:id="11"/>
      <w:bookmarkEnd w:id="17"/>
    </w:p>
    <w:p>
      <w:pPr>
        <w:pStyle w:val="Heading1"/>
        <w:rPr/>
      </w:pPr>
      <w:bookmarkStart w:id="18" w:name="__RefHeading___Toc17250_2049021629"/>
      <w:bookmarkStart w:id="19" w:name="conclusione-ca-06"/>
      <w:bookmarkEnd w:id="18"/>
      <w:r>
        <w:rPr/>
        <w:t>Conclusione CA-06</w:t>
      </w:r>
    </w:p>
    <w:p>
      <w:pPr>
        <w:pStyle w:val="FirstParagraph"/>
        <w:spacing w:lineRule="auto" w:line="268" w:before="180" w:after="120"/>
        <w:rPr/>
      </w:pPr>
      <w:r>
        <w:rPr/>
        <w:t xml:space="preserve">I 20 casi invariati conservano esattamente l’esito della baseline: </w:t>
      </w:r>
      <w:r>
        <w:rPr>
          <w:b/>
          <w:bCs/>
        </w:rPr>
        <w:t>20/20 PASS, nessuna differenza e nessuna regressione aperta</w:t>
      </w:r>
      <w:r>
        <w:rPr/>
        <w:t xml:space="preserve">. Le differenze funzionali del check-in sono miglioramenti intenzionali della CR-BF-01; i limiti PWA rilevati sono dimostrabilmente anteriori alla change request. Per il perimetro di regressione definito da BIB-60, </w:t>
      </w:r>
      <w:r>
        <w:rPr>
          <w:b/>
          <w:bCs/>
        </w:rPr>
        <w:t>CA-06 è verificato</w:t>
      </w:r>
      <w:r>
        <w:rPr/>
        <w:t>.</w:t>
      </w:r>
      <w:bookmarkEnd w:id="19"/>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47" w:right="1247" w:gutter="0" w:header="720" w:top="1247"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17"/>
      </w:rPr>
      <w:t xml:space="preserve">Pagina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707070"/>
        <w:sz w:val="17"/>
      </w:rPr>
      <w:t>BiblioFlow — CR-BF-01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it-IT"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libri" w:cs="Calibri"/>
      <w:color w:val="auto"/>
      <w:kern w:val="0"/>
      <w:sz w:val="21"/>
      <w:szCs w:val="24"/>
      <w:lang w:val="it-IT" w:eastAsia="en-US" w:bidi="ar-SA"/>
    </w:rPr>
  </w:style>
  <w:style w:type="paragraph" w:styleId="Heading1">
    <w:name w:val="Heading 1"/>
    <w:basedOn w:val="Normal"/>
    <w:next w:val="BodyText"/>
    <w:uiPriority w:val="9"/>
    <w:qFormat/>
    <w:pPr>
      <w:keepNext w:val="true"/>
      <w:keepLines/>
      <w:spacing w:before="320" w:after="120"/>
      <w:outlineLvl w:val="0"/>
    </w:pPr>
    <w:rPr>
      <w:rFonts w:ascii="Calibri" w:hAnsi="Calibri" w:eastAsia="Calibri" w:cs="Calibri"/>
      <w:b/>
      <w:bCs/>
      <w:i w:val="false"/>
      <w:color w:val="1F3A68"/>
      <w:sz w:val="34"/>
      <w:szCs w:val="32"/>
    </w:rPr>
  </w:style>
  <w:style w:type="paragraph" w:styleId="Heading2">
    <w:name w:val="Heading 2"/>
    <w:basedOn w:val="Normal"/>
    <w:next w:val="BodyText"/>
    <w:uiPriority w:val="9"/>
    <w:unhideWhenUsed/>
    <w:qFormat/>
    <w:pPr>
      <w:keepNext w:val="true"/>
      <w:keepLines/>
      <w:spacing w:before="220" w:after="120"/>
      <w:outlineLvl w:val="1"/>
    </w:pPr>
    <w:rPr>
      <w:rFonts w:ascii="Calibri" w:hAnsi="Calibri" w:eastAsia="Calibri" w:cs="Calibri"/>
      <w:b/>
      <w:bCs/>
      <w:i w:val="false"/>
      <w:color w:val="1F3A68"/>
      <w:sz w:val="27"/>
      <w:szCs w:val="28"/>
    </w:rPr>
  </w:style>
  <w:style w:type="paragraph" w:styleId="Heading3">
    <w:name w:val="Heading 3"/>
    <w:basedOn w:val="Normal"/>
    <w:next w:val="BodyText"/>
    <w:uiPriority w:val="9"/>
    <w:unhideWhenUsed/>
    <w:qFormat/>
    <w:pPr>
      <w:keepNext w:val="true"/>
      <w:keepLines/>
      <w:spacing w:before="220" w:after="120"/>
      <w:outlineLvl w:val="2"/>
    </w:pPr>
    <w:rPr>
      <w:rFonts w:ascii="Calibri" w:hAnsi="Calibri" w:eastAsia="Calibri" w:cs="Calibri"/>
      <w:b/>
      <w:bCs/>
      <w:i w:val="false"/>
      <w:color w:val="1F3A68"/>
      <w:sz w:val="23"/>
      <w:szCs w:val="24"/>
    </w:rPr>
  </w:style>
  <w:style w:type="paragraph" w:styleId="Heading4">
    <w:name w:val="Heading 4"/>
    <w:basedOn w:val="Normal"/>
    <w:next w:val="BodyText"/>
    <w:uiPriority w:val="9"/>
    <w:unhideWhenUsed/>
    <w:qFormat/>
    <w:pPr>
      <w:keepNext w:val="true"/>
      <w:keepLines/>
      <w:spacing w:before="220" w:after="120"/>
      <w:outlineLvl w:val="3"/>
    </w:pPr>
    <w:rPr>
      <w:rFonts w:ascii="Calibri" w:hAnsi="Calibri" w:eastAsia="Calibri" w:cs="Calibri"/>
      <w:b/>
      <w:bCs/>
      <w:i w:val="false"/>
      <w:color w:val="1F3A68"/>
      <w:sz w:val="21"/>
      <w:szCs w:val="24"/>
    </w:rPr>
  </w:style>
  <w:style w:type="paragraph" w:styleId="Heading5">
    <w:name w:val="Heading 5"/>
    <w:basedOn w:val="Normal"/>
    <w:next w:val="BodyText"/>
    <w:uiPriority w:val="9"/>
    <w:unhideWhenUsed/>
    <w:qFormat/>
    <w:pPr>
      <w:keepNext w:val="true"/>
      <w:keepLines/>
      <w:spacing w:before="220" w:after="120"/>
      <w:outlineLvl w:val="4"/>
    </w:pPr>
    <w:rPr>
      <w:rFonts w:ascii="Calibri" w:hAnsi="Calibri" w:eastAsia="Calibri" w:cs="Calibri"/>
      <w:b/>
      <w:i w:val="false"/>
      <w:iCs/>
      <w:color w:val="1F3A68"/>
      <w:sz w:val="21"/>
      <w:szCs w:val="24"/>
    </w:rPr>
  </w:style>
  <w:style w:type="paragraph" w:styleId="Heading6">
    <w:name w:val="Heading 6"/>
    <w:basedOn w:val="Normal"/>
    <w:next w:val="BodyText"/>
    <w:uiPriority w:val="9"/>
    <w:unhideWhenUsed/>
    <w:qFormat/>
    <w:pPr>
      <w:keepNext w:val="true"/>
      <w:keepLines/>
      <w:spacing w:before="220" w:after="120"/>
      <w:outlineLvl w:val="5"/>
    </w:pPr>
    <w:rPr>
      <w:rFonts w:ascii="Calibri" w:hAnsi="Calibri" w:eastAsia="Calibri" w:cs="Calibri"/>
      <w:b/>
      <w:i w:val="false"/>
      <w:color w:val="1F3A68"/>
      <w:sz w:val="21"/>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eastAsia="Consolas" w:cs="Consolas"/>
      <w:color w:val="8A1F3D"/>
      <w:sz w:val="18"/>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F5FA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268" w:before="180" w:after="120"/>
    </w:pPr>
    <w:rPr>
      <w:rFonts w:ascii="Calibri" w:hAnsi="Calibri" w:eastAsia="Calibri" w:cs="Calibri"/>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68" w:before="180" w:after="120"/>
    </w:pPr>
    <w:rPr>
      <w:rFonts w:ascii="Calibri" w:hAnsi="Calibri" w:eastAsia="Calibri" w:cs="Calibri"/>
      <w:sz w:val="21"/>
    </w:rPr>
  </w:style>
  <w:style w:type="paragraph" w:styleId="Compact" w:customStyle="1">
    <w:name w:val="Compact"/>
    <w:basedOn w:val="BodyText"/>
    <w:qFormat/>
    <w:pPr>
      <w:spacing w:before="36" w:after="36"/>
    </w:pPr>
    <w:rPr>
      <w:rFonts w:ascii="Calibri" w:hAnsi="Calibri" w:eastAsia="Calibri" w:cs="Calibri"/>
      <w:sz w:val="21"/>
    </w:rPr>
  </w:style>
  <w:style w:type="paragraph" w:styleId="Title">
    <w:name w:val="Title"/>
    <w:basedOn w:val="Normal"/>
    <w:next w:val="BodyText"/>
    <w:qFormat/>
    <w:pPr>
      <w:keepNext w:val="true"/>
      <w:keepLines/>
      <w:spacing w:before="480" w:after="200"/>
      <w:jc w:val="left"/>
    </w:pPr>
    <w:rPr>
      <w:rFonts w:ascii="Calibri" w:hAnsi="Calibri" w:eastAsia="Calibri" w:cs="Calibri"/>
      <w:b/>
      <w:bCs/>
      <w:color w:val="1F3A68"/>
      <w:sz w:val="56"/>
      <w:szCs w:val="36"/>
    </w:rPr>
  </w:style>
  <w:style w:type="paragraph" w:styleId="Subtitle">
    <w:name w:val="Subtitle"/>
    <w:basedOn w:val="Title"/>
    <w:next w:val="BodyText"/>
    <w:qFormat/>
    <w:pPr>
      <w:keepNext w:val="true"/>
      <w:keepLines/>
      <w:spacing w:before="240" w:after="240"/>
      <w:jc w:val="left"/>
    </w:pPr>
    <w:rPr>
      <w:rFonts w:ascii="Calibri" w:hAnsi="Calibri" w:eastAsia="Calibri" w:cs="Calibri"/>
      <w:b w:val="false"/>
      <w:color w:val="444F60"/>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it-IT"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it-IT"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Normal"/>
    <w:next w:val="BodyText"/>
    <w:uiPriority w:val="39"/>
    <w:unhideWhenUsed/>
    <w:qFormat/>
    <w:pPr>
      <w:spacing w:lineRule="auto" w:line="259" w:before="0" w:after="80"/>
    </w:pPr>
    <w:rPr>
      <w:rFonts w:ascii="Calibri" w:hAnsi="Calibri" w:eastAsia="Calibri" w:cs="Calibri"/>
      <w:b/>
      <w:bCs w:val="false"/>
      <w:color w:val="1F3A68"/>
      <w:sz w:val="34"/>
    </w:rPr>
  </w:style>
  <w:style w:type="paragraph" w:styleId="CoverKicker" w:customStyle="1">
    <w:name w:val="Cover Kicker"/>
    <w:basedOn w:val="Normal"/>
    <w:qFormat/>
    <w:pPr>
      <w:spacing w:before="3000" w:after="80"/>
    </w:pPr>
    <w:rPr>
      <w:rFonts w:ascii="Calibri" w:hAnsi="Calibri" w:eastAsia="Calibri" w:cs="Calibri"/>
      <w:b/>
      <w:color w:val="5A677D"/>
      <w:sz w:val="24"/>
    </w:rPr>
  </w:style>
  <w:style w:type="paragraph" w:styleId="CoverMeta" w:customStyle="1">
    <w:name w:val="Cover Meta"/>
    <w:basedOn w:val="Normal"/>
    <w:qFormat/>
    <w:pPr>
      <w:spacing w:before="160" w:after="80"/>
    </w:pPr>
    <w:rPr>
      <w:rFonts w:ascii="Calibri" w:hAnsi="Calibri" w:eastAsia="Calibri" w:cs="Calibri"/>
      <w:b w:val="false"/>
      <w:color w:val="333333"/>
      <w:sz w:val="21"/>
    </w:rPr>
  </w:style>
  <w:style w:type="paragraph" w:styleId="CoverLabel" w:customStyle="1">
    <w:name w:val="Cover Label"/>
    <w:basedOn w:val="Normal"/>
    <w:qFormat/>
    <w:pPr>
      <w:spacing w:before="520" w:after="80"/>
    </w:pPr>
    <w:rPr>
      <w:rFonts w:ascii="Calibri" w:hAnsi="Calibri" w:eastAsia="Calibri" w:cs="Calibri"/>
      <w:b/>
      <w:color w:val="1F3A68"/>
      <w:sz w:val="21"/>
    </w:rPr>
  </w:style>
  <w:style w:type="paragraph" w:styleId="CoverMember" w:customStyle="1">
    <w:name w:val="Cover Member"/>
    <w:basedOn w:val="Normal"/>
    <w:qFormat/>
    <w:pPr>
      <w:spacing w:before="40" w:after="80"/>
    </w:pPr>
    <w:rPr>
      <w:rFonts w:ascii="Calibri" w:hAnsi="Calibri" w:eastAsia="Calibri" w:cs="Calibri"/>
      <w:b w:val="false"/>
      <w:color w:val="222222"/>
      <w:sz w:val="22"/>
    </w:rPr>
  </w:style>
  <w:style w:type="paragraph" w:styleId="SourceCode" w:customStyle="1">
    <w:name w:val="Source Code"/>
    <w:basedOn w:val="Normal"/>
    <w:qFormat/>
    <w:pPr>
      <w:shd w:val="clear" w:color="auto" w:fill="F3F5F8"/>
      <w:spacing w:lineRule="auto" w:line="240" w:before="0" w:after="0"/>
    </w:pPr>
    <w:rPr>
      <w:rFonts w:ascii="Consolas" w:hAnsi="Consolas" w:eastAsia="Consolas" w:cs="Consolas"/>
      <w:sz w:val="17"/>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6</Pages>
  <Words>1172</Words>
  <Characters>7415</Characters>
  <CharactersWithSpaces>8368</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2026-10-13T12:28:09Z</dcterms:created>
  <dc:creator/>
  <dc:description/>
  <dc:language>it-IT</dc:language>
  <cp:lastModifiedBy/>
  <dcterms:modified xsi:type="dcterms:W3CDTF">2026-10-13T14:28:19Z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