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verKicker"/>
        <w:spacing w:before="3000" w:after="80"/>
        <w:rPr/>
      </w:pPr>
      <w:r>
        <w:rPr/>
        <w:t>BiblioFlow — Change request CR-BF-01</w:t>
      </w:r>
    </w:p>
    <w:p>
      <w:pPr>
        <w:pStyle w:val="Title"/>
        <w:rPr/>
      </w:pPr>
      <w:r>
        <w:rPr/>
        <w:t>Specifica dei casi di test post-modifica</w:t>
      </w:r>
    </w:p>
    <w:p>
      <w:pPr>
        <w:pStyle w:val="Subtitle"/>
        <w:rPr/>
      </w:pPr>
      <w:r>
        <w:rPr/>
        <w:t>Casi aggiunti, modificati, invariati ed eliminati</w:t>
      </w:r>
    </w:p>
    <w:p>
      <w:pPr>
        <w:pStyle w:val="CoverMeta"/>
        <w:rPr/>
      </w:pPr>
      <w:r>
        <w:rPr/>
        <w:t>Ingegneria, Gestione ed Evoluzione del Software — A.A. 2025/2026</w:t>
      </w:r>
    </w:p>
    <w:p>
      <w:pPr>
        <w:pStyle w:val="CoverLabel"/>
        <w:rPr/>
      </w:pPr>
      <w:r>
        <w:rPr/>
        <w:t>Gruppo</w:t>
      </w:r>
    </w:p>
    <w:p>
      <w:pPr>
        <w:pStyle w:val="CoverMember"/>
        <w:rPr/>
      </w:pPr>
      <w:r>
        <w:rPr/>
        <w:t>Mario Celzo — NF22500193</w:t>
      </w:r>
    </w:p>
    <w:p>
      <w:pPr>
        <w:pStyle w:val="CoverMember"/>
        <w:rPr/>
      </w:pPr>
      <w:r>
        <w:rPr/>
        <w:t>Renato Mancino — NF22500242</w:t>
      </w:r>
    </w:p>
    <w:p>
      <w:pPr>
        <w:pStyle w:val="CoverMember"/>
        <w:rPr/>
      </w:pPr>
      <w:r>
        <w:rPr/>
        <w:t>Alfonso Maria Ferrara — NF22500210</w:t>
      </w:r>
    </w:p>
    <w:p>
      <w:pPr>
        <w:pStyle w:val="CoverMeta"/>
        <w:rPr/>
      </w:pPr>
      <w:r>
        <w:rPr/>
        <w:t xml:space="preserve">Repository: https://github.com/mariocelzo/biblioflow-app — codice verificato al commit </w:t>
      </w:r>
      <w:r>
        <w:rPr>
          <w:rStyle w:val="VerbatimChar"/>
        </w:rPr>
        <w:t>20efb4b</w:t>
      </w:r>
    </w:p>
    <w:p>
      <w:pPr>
        <w:pStyle w:val="CoverMeta"/>
        <w:rPr/>
      </w:pPr>
      <w:r>
        <w:rPr/>
        <w:t>Data: 13 ottobre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OCHeading"/>
        <w:spacing w:before="0" w:after="80"/>
        <w:rPr/>
      </w:pPr>
      <w:r>
        <w:rPr/>
        <w:t>Indice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4002_4122350189">
            <w:r>
              <w:rPr>
                <w:webHidden/>
                <w:rStyle w:val="IndexLink"/>
              </w:rPr>
              <w:t>Identificazione</w:t>
              <w:tab/>
              <w:t>3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14004_4122350189">
            <w:r>
              <w:rPr>
                <w:webHidden/>
                <w:rStyle w:val="IndexLink"/>
              </w:rPr>
              <w:t>Scopo e criterio di classificazione</w:t>
              <w:tab/>
              <w:t>3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14006_4122350189">
            <w:r>
              <w:rPr>
                <w:webHidden/>
                <w:rStyle w:val="IndexLink"/>
              </w:rPr>
              <w:t>Sintesi</w:t>
              <w:tab/>
              <w:t>3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14008_4122350189">
            <w:r>
              <w:rPr>
                <w:webHidden/>
                <w:rStyle w:val="IndexLink"/>
              </w:rPr>
              <w:t>Casi MODIFICATI — ID pre-modifica mantenuti</w:t>
              <w:tab/>
              <w:t>3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14010_4122350189">
            <w:r>
              <w:rPr>
                <w:webHidden/>
                <w:rStyle w:val="IndexLink"/>
              </w:rPr>
              <w:t>Casi INVARIATI — base della regressione</w:t>
              <w:tab/>
              <w:t>5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14012_4122350189">
            <w:r>
              <w:rPr>
                <w:webHidden/>
                <w:rStyle w:val="IndexLink"/>
              </w:rPr>
              <w:t>Casi ELIMINATI</w:t>
              <w:tab/>
              <w:t>6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14014_4122350189">
            <w:r>
              <w:rPr>
                <w:webHidden/>
                <w:rStyle w:val="IndexLink"/>
              </w:rPr>
              <w:t>Casi AGGIUNTI — Fase 2, dati e dominio (41)</w:t>
              <w:tab/>
              <w:t>6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14016_4122350189">
            <w:r>
              <w:rPr>
                <w:webHidden/>
                <w:rStyle w:val="IndexLink"/>
              </w:rPr>
              <w:t>Casi AGGIUNTI — Fase 3, API sicure (8)</w:t>
              <w:tab/>
              <w:t>6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14018_4122350189">
            <w:r>
              <w:rPr>
                <w:webHidden/>
                <w:rStyle w:val="IndexLink"/>
              </w:rPr>
              <w:t>Casi AGGIUNTI — Fase 4, automazioni/notifiche/realtime (72)</w:t>
              <w:tab/>
              <w:t>6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14020_4122350189">
            <w:r>
              <w:rPr>
                <w:webHidden/>
                <w:rStyle w:val="IndexLink"/>
              </w:rPr>
              <w:t>Casi AGGIUNTI — Fase 5, admin e UI (60)</w:t>
              <w:tab/>
              <w:t>7</w:t>
            </w:r>
          </w:hyperlink>
        </w:p>
        <w:p>
          <w:pPr>
            <w:pStyle w:val="TOC2"/>
            <w:tabs>
              <w:tab w:val="clear" w:pos="9129"/>
              <w:tab w:val="right" w:pos="9411" w:leader="dot"/>
            </w:tabs>
            <w:rPr/>
          </w:pPr>
          <w:hyperlink w:anchor="__RefHeading___Toc14022_4122350189">
            <w:r>
              <w:rPr>
                <w:webHidden/>
                <w:rStyle w:val="IndexLink"/>
              </w:rPr>
              <w:t>Nota sui target di sicurezza BIB-57</w:t>
              <w:tab/>
              <w:t>7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14024_4122350189">
            <w:r>
              <w:rPr>
                <w:webHidden/>
                <w:rStyle w:val="IndexLink"/>
              </w:rPr>
              <w:t>Casi AGGIUNTI — Correzione successiva, catalogo libri (5)</w:t>
              <w:tab/>
              <w:t>7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14026_4122350189">
            <w:r>
              <w:rPr>
                <w:webHidden/>
                <w:rStyle w:val="IndexLink"/>
              </w:rPr>
              <w:t>Matrice criteri → famiglie di test</w:t>
              <w:tab/>
              <w:t>7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14028_4122350189">
            <w:r>
              <w:rPr>
                <w:webHidden/>
                <w:rStyle w:val="IndexLink"/>
              </w:rPr>
              <w:t>Comandi previsti per i report di esecuzione</w:t>
              <w:tab/>
              <w:t>8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before="0" w:after="200"/>
        <w:jc w:val="left"/>
        <w:rPr>
          <w:rFonts w:ascii="Calibri" w:hAnsi="Calibri" w:eastAsia="Calibri" w:cs="Calibri"/>
          <w:sz w:val="21"/>
        </w:rPr>
      </w:pPr>
      <w:r>
        <w:rPr>
          <w:rFonts w:eastAsia="Calibri" w:cs="Calibri"/>
          <w:sz w:val="21"/>
        </w:rPr>
      </w:r>
      <w:r>
        <w:br w:type="page"/>
      </w:r>
    </w:p>
    <w:p>
      <w:pPr>
        <w:pStyle w:val="Heading1"/>
        <w:spacing w:before="0" w:after="120"/>
        <w:rPr/>
      </w:pPr>
      <w:bookmarkStart w:id="0" w:name="__RefHeading___Toc14002_4122350189"/>
      <w:bookmarkEnd w:id="0"/>
      <w:r>
        <w:rPr/>
        <w:t>Identificazione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705"/>
        <w:gridCol w:w="4706"/>
      </w:tblGrid>
      <w:tr>
        <w:trPr>
          <w:tblHeader w:val="true"/>
        </w:trPr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Campo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Valore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Task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BIB-60 — Specifica dei casi di test post-modifica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Fase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6 — test post-modifica e regressione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Baseline pre-modifica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tag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baseline-pre-cr-bf-01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(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e0742bf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)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Versione post-modifica analizzata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main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(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adc5e30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) dopo il merge delle Fasi 4 e 5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Specifica di confronto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docs/test/spec-pre-modifica.md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Suite corrente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npm test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(esclude intenzionalmente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tests/pre-modifica/**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)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Suite di caratterizzazione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npm run test:pre</w:t>
            </w:r>
            <w:bookmarkStart w:id="1" w:name="identificazione"/>
            <w:bookmarkEnd w:id="1"/>
          </w:p>
        </w:tc>
      </w:tr>
    </w:tbl>
    <w:p>
      <w:pPr>
        <w:pStyle w:val="Heading1"/>
        <w:rPr/>
      </w:pPr>
      <w:bookmarkStart w:id="2" w:name="__RefHeading___Toc14004_4122350189"/>
      <w:bookmarkEnd w:id="2"/>
      <w:r>
        <w:rPr/>
        <w:t>Scopo e criterio di classificazione</w:t>
      </w:r>
    </w:p>
    <w:p>
      <w:pPr>
        <w:pStyle w:val="FirstParagraph"/>
        <w:rPr/>
      </w:pPr>
      <w:r>
        <w:rPr/>
        <w:t>Questo documento è il terzo deliverable di testing richiesto dal corso. Descrive come cambia la suite tra la baseline e la versione che implementa CR-BF-01 senza rinumerare i 34 casi pre-modifica.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AGGIUNTO</w:t>
      </w:r>
      <w:r>
        <w:rPr/>
        <w:t>: scenario inesistente nella baseline, introdotto per la change request o per un suo ripple effect.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MODIFICATO</w:t>
      </w:r>
      <w:r>
        <w:rPr/>
        <w:t>: conserva l’ID pre-modifica, ma cambia il comportamento atteso, il contratto o il percorso applicativo verificato.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ELIMINATO</w:t>
      </w:r>
      <w:r>
        <w:rPr/>
        <w:t>: caso non più valido e non sostituito. Non ce ne sono.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INVARIATO</w:t>
      </w:r>
      <w:r>
        <w:rPr/>
        <w:t>: comportamento preesistente da rieseguire come regressione.</w:t>
      </w:r>
    </w:p>
    <w:p>
      <w:pPr>
        <w:pStyle w:val="FirstParagraph"/>
        <w:rPr/>
      </w:pPr>
      <w:r>
        <w:rPr/>
        <w:t xml:space="preserve">I test di caratterizzazione restano separati dalla suite corrente: </w:t>
      </w:r>
      <w:r>
        <w:rPr>
          <w:rStyle w:val="VerbatimChar"/>
        </w:rPr>
        <w:t>npm test</w:t>
      </w:r>
      <w:r>
        <w:rPr/>
        <w:t xml:space="preserve"> verifica l’implementazione post-modifica, mentre </w:t>
      </w:r>
      <w:r>
        <w:rPr>
          <w:rStyle w:val="VerbatimChar"/>
        </w:rPr>
        <w:t>npm run test:pre</w:t>
      </w:r>
      <w:r>
        <w:rPr/>
        <w:t xml:space="preserve"> conserva l’evidenza storica. La classificazione seguente, non la cartella fisica del test, determina quali casi alimentano il report di regressione BIB-62.</w:t>
      </w:r>
    </w:p>
    <w:p>
      <w:pPr>
        <w:pStyle w:val="Heading1"/>
        <w:rPr/>
      </w:pPr>
      <w:bookmarkStart w:id="3" w:name="__RefHeading___Toc14006_4122350189"/>
      <w:bookmarkStart w:id="4" w:name="sintesi"/>
      <w:bookmarkEnd w:id="3"/>
      <w:r>
        <w:rPr/>
        <w:t>Sintesi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37"/>
        <w:gridCol w:w="3137"/>
        <w:gridCol w:w="3138"/>
      </w:tblGrid>
      <w:tr>
        <w:trPr>
          <w:tblHeader w:val="true"/>
        </w:trPr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Categoria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Numero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Destinazione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Aggiunti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181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Report parti modificate (BIB-61)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Modificati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14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Report parti modificate (BIB-61)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Eliminati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0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Nessuna motivazione necessaria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Invariati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20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Report di regressione (BIB-62)</w:t>
            </w:r>
          </w:p>
        </w:tc>
      </w:tr>
    </w:tbl>
    <w:p>
      <w:pPr>
        <w:pStyle w:val="BodyText"/>
        <w:rPr/>
      </w:pPr>
      <w:r>
        <w:rPr/>
        <w:t xml:space="preserve">Il conteggio dei casi aggiunti considera le espansioni di </w:t>
      </w:r>
      <w:r>
        <w:rPr>
          <w:rStyle w:val="VerbatimChar"/>
        </w:rPr>
        <w:t>it.each</w:t>
      </w:r>
      <w:r>
        <w:rPr/>
        <w:t xml:space="preserve"> e i test parametrici come casi distinti, coerentemente con il conteggio prodotto da Vitest.</w:t>
      </w:r>
      <w:bookmarkEnd w:id="4"/>
    </w:p>
    <w:p>
      <w:pPr>
        <w:pStyle w:val="Heading1"/>
        <w:rPr/>
      </w:pPr>
      <w:bookmarkStart w:id="5" w:name="__RefHeading___Toc14008_4122350189"/>
      <w:bookmarkEnd w:id="5"/>
      <w:r>
        <w:rPr/>
        <w:t>Casi MODIFICATI — ID pre-modifica mantenuti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82"/>
        <w:gridCol w:w="1882"/>
        <w:gridCol w:w="1883"/>
        <w:gridCol w:w="1882"/>
        <w:gridCol w:w="1883"/>
      </w:tblGrid>
      <w:tr>
        <w:trPr>
          <w:tblHeader w:val="true"/>
        </w:trPr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ID stabile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Area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Variazione post-modifica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Evidenza automatizzata corrente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CA</w:t>
            </w:r>
          </w:p>
        </w:tc>
      </w:tr>
      <w:tr>
        <w:trPr/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TC-PRE-001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Creazione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L’identità non proviene più dal payload; la creazione usa sessione e transazione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Serializable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.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auth-prenotazioni.test.ts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;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TC-BIB31-001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CA-01, CA-02</w:t>
            </w:r>
          </w:p>
        </w:tc>
      </w:tr>
      <w:tr>
        <w:trPr/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TC-PRE-002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Validazione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I campi obbligatori sono validati dal contratto centralizzato prima delle scritture.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TC-BIB27-003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008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CA-02</w:t>
            </w:r>
          </w:p>
        </w:tc>
      </w:tr>
      <w:tr>
        <w:trPr/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TC-PRE-003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Orari sala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La verifica degli orari è unica nel servizio di dominio e copre anche sala inattiva.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TC-BIB27-012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TC-BIB27-013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CA-02</w:t>
            </w:r>
          </w:p>
        </w:tc>
      </w:tr>
      <w:tr>
        <w:trPr/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TC-PRE-004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Intervallo invertito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Il difetto caratterizzato è corretto: fine non successiva all’inizio produce errore 422, non più 201.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TC-BIB27-005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CA-02</w:t>
            </w:r>
          </w:p>
        </w:tc>
      </w:tr>
      <w:tr>
        <w:trPr/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TC-PRE-005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Sovrapposizione posto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Il controllo è transazionale e garantito anche dal vincolo PostgreSQL; il conflitto propone la coda.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TC-BIB24-DB-001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003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; suite concorrenza;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TC-BIB31-002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CA-02, CA-03</w:t>
            </w:r>
          </w:p>
        </w:tc>
      </w:tr>
      <w:tr>
        <w:trPr/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TC-PRE-006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Cancellazione utente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Mantiene cancellazione e log, aggiungendo ownership e promozione idempotente del primo in coda.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suite auth/ownership;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TC-BIB31-007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CA-01, CA-04, CA-05</w:t>
            </w:r>
          </w:p>
        </w:tc>
      </w:tr>
      <w:tr>
        <w:trPr/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TC-PRE-007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Check-in dedicato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Il confronto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Date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/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Time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è corretto ricomponendo data e orario; restano sessione, ownership e finestra.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suite auth/ownership e integrazione prenotazioni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CA-01, CA-06</w:t>
            </w:r>
          </w:p>
        </w:tc>
      </w:tr>
      <w:tr>
        <w:trPr/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TC-PRE-008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Check-in legacy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Il percorso legacy non può aggirare sessione, ownership o stati ammessi.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suite auth/ownership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CA-01, CA-06</w:t>
            </w:r>
          </w:p>
        </w:tc>
      </w:tr>
      <w:tr>
        <w:trPr/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TC-PRE-009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Estensione in conflitto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L’estensione riusa la validazione centralizzata e il medesimo modello di sovrapposizione atomica.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TC-BIB27-015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020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; suite auth/ownership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CA-01, CA-02</w:t>
            </w:r>
          </w:p>
        </w:tc>
      </w:tr>
      <w:tr>
        <w:trPr/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TC-PRE-010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Estensione libera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Il difetto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Date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/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Time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è corretto; la durata è calcolata sul giorno della prenotazione.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TC-BIB27-006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008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CA-02, CA-06</w:t>
            </w:r>
          </w:p>
        </w:tc>
      </w:tr>
      <w:tr>
        <w:trPr/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TC-PRE-021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Cancellazione admin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Oltre a cancellare e liberare il posto, tenta la promozione e restituisce un esito comprensibile allo staff.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TC-BIB49-001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004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;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TC-BIB50-001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003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CA-04, CA-06</w:t>
            </w:r>
          </w:p>
        </w:tc>
      </w:tr>
      <w:tr>
        <w:trPr/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TC-PRE-023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Payload UI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Il client non invia più un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userId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autorevole; sui conflitti espone l’azione di ingresso in coda.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TC-BIB52-002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;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TC-BIB53-003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;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TC-BIB54-001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004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CA-01, CA-03, CA-06</w:t>
            </w:r>
          </w:p>
        </w:tc>
      </w:tr>
      <w:tr>
        <w:trPr/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TC-PRE-024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Flusso UI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Il percorso libero resta 201; il percorso occupato continua in coda dalla mappa, dal mobile o dal dialog di conflitto.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TC-BIB52-001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002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;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TC-BIB53-001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005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;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TC-BIB58-001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CA-03, CA-04, CA-06</w:t>
            </w:r>
          </w:p>
        </w:tc>
      </w:tr>
      <w:tr>
        <w:trPr/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PRE-AUT-003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No-show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Oltre a marcare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NO_SHOW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e liberare il posto, processa la coda con tracciabilità e protezione dalle doppie esecuzioni.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TC-BIB40-001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007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;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TC-BIB47-001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004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CA-04, CA-05</w:t>
            </w:r>
            <w:bookmarkStart w:id="6" w:name="Xb9748bedc00c0cb52f296a8220d23219bfb1205"/>
            <w:bookmarkEnd w:id="6"/>
          </w:p>
        </w:tc>
      </w:tr>
    </w:tbl>
    <w:p>
      <w:pPr>
        <w:pStyle w:val="Heading1"/>
        <w:rPr/>
      </w:pPr>
      <w:bookmarkStart w:id="7" w:name="__RefHeading___Toc14010_4122350189"/>
      <w:bookmarkEnd w:id="7"/>
      <w:r>
        <w:rPr/>
        <w:t>Casi INVARIATI — base della regressione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37"/>
        <w:gridCol w:w="3137"/>
        <w:gridCol w:w="3138"/>
      </w:tblGrid>
      <w:tr>
        <w:trPr>
          <w:tblHeader w:val="true"/>
        </w:trPr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ID stabile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Comportamento da preservare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Modalità di riesecuzione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TC-PRE-011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Login valido e aggiornamento ultimo accesso.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tests/pre-modifica/login.test.ts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TC-PRE-012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Password errata senza aggiornamento.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tests/pre-modifica/login.test.ts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TC-PRE-013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Account disattivato rifiutato.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tests/pre-modifica/login.test.ts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TC-PRE-014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Pagina admin anonima reindirizzata al login.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tests/pre-modifica/admin-ui.test.ts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TC-PRE-015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API admin protetta anonima risponde 401.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tests/pre-modifica/admin-ui.test.ts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e BIB-57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TC-PRE-016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Pagina prenota accessibile con cookie di sessione.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tests/pre-modifica/admin-ui.test.ts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TC-PRE-017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Studente rifiutato sulle statistiche admin.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tests/pre-modifica/admin-ui.test.ts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;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TC-BIB57-010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015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TC-PRE-018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Bibliotecario non può cambiare lo stato di un account.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tests/pre-modifica/admin-ui.test.ts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;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TC-BIB57-030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TC-PRE-019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Staff legge dettagli e conteggi utente.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tests/pre-modifica/admin-ui.test.ts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;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TC-BIB57-023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TC-PRE-020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Restituzione prestito conserva stato, log e notifica.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tests/pre-modifica/admin-ui.test.ts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TC-PRE-022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Distribuzione no-show mantiene valori e percentuali.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tests/pre-modifica/admin-ui.test.ts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;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TC-BIB55-001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002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PRE-AUT-001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Promemoria check-in produce notifica e log.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tests/pre-modifica/automation-notifications.test.ts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PRE-AUT-002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Promemoria giornaliero non duplicato.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tests/pre-modifica/automation-notifications.test.ts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PRE-AUT-004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Una prenotazione già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SCADUTA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non viene trattata come no-show.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tests/pre-modifica/automation-notifications.test.ts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PRE-NOT-001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Notifica disponibilità posto conserva tipo e collegamento.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tests/pre-modifica/automation-notifications.test.ts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PRE-NOT-002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API notifiche conserva filtro, paginazione e conteggi.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tests/pre-modifica/automation-notifications.test.ts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;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TC-BIB47-008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PRE-SSE-001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Endpoint SSE conserva headers e handshake iniziale.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tests/pre-modifica/sse-posti.test.ts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PRE-SSE-002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Framing e isolamento dei canali SSE restano invariati.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tests/pre-modifica/sse-posti.test.ts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;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TC-BIB45-009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010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PRE-SSE-003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Evento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posto-update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conserva il payload.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tests/pre-modifica/sse-posti.test.ts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;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TC-BIB45-006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PRE-SSE-004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Chiusura stream rimuove il client.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tests/pre-modifica/sse-posti.test.ts</w:t>
            </w:r>
          </w:p>
        </w:tc>
      </w:tr>
    </w:tbl>
    <w:p>
      <w:pPr>
        <w:pStyle w:val="Heading1"/>
        <w:rPr/>
      </w:pPr>
      <w:bookmarkStart w:id="8" w:name="__RefHeading___Toc14012_4122350189"/>
      <w:bookmarkEnd w:id="8"/>
      <w:r>
        <w:rPr/>
        <w:t>Casi ELIMINATI</w:t>
      </w:r>
    </w:p>
    <w:p>
      <w:pPr>
        <w:pStyle w:val="FirstParagraph"/>
        <w:rPr/>
      </w:pPr>
      <w:r>
        <w:rPr/>
        <w:t>Nessun caso è stato eliminato. I quattro casi che caratterizzavano difetti (</w:t>
      </w:r>
      <w:r>
        <w:rPr>
          <w:rStyle w:val="VerbatimChar"/>
        </w:rPr>
        <w:t>TC-PRE-004</w:t>
      </w:r>
      <w:r>
        <w:rPr/>
        <w:t xml:space="preserve">, </w:t>
      </w:r>
      <w:r>
        <w:rPr>
          <w:rStyle w:val="VerbatimChar"/>
        </w:rPr>
        <w:t>TC-PRE-007</w:t>
      </w:r>
      <w:r>
        <w:rPr/>
        <w:t xml:space="preserve">, </w:t>
      </w:r>
      <w:r>
        <w:rPr>
          <w:rStyle w:val="VerbatimChar"/>
        </w:rPr>
        <w:t>TC-PRE-010</w:t>
      </w:r>
      <w:r>
        <w:rPr/>
        <w:t xml:space="preserve"> e la parte vulnerabile del contratto di </w:t>
      </w:r>
      <w:r>
        <w:rPr>
          <w:rStyle w:val="VerbatimChar"/>
        </w:rPr>
        <w:t>TC-PRE-023</w:t>
      </w:r>
      <w:r>
        <w:rPr/>
        <w:t xml:space="preserve">) restano nello storico con il medesimo ID e sono classificati come </w:t>
      </w:r>
      <w:r>
        <w:rPr>
          <w:b/>
          <w:bCs/>
        </w:rPr>
        <w:t>MODIFICATI</w:t>
      </w:r>
      <w:r>
        <w:rPr/>
        <w:t>: eliminarli avrebbe nascosto l’evidenza del miglioramento.</w:t>
      </w:r>
    </w:p>
    <w:p>
      <w:pPr>
        <w:pStyle w:val="Heading1"/>
        <w:rPr/>
      </w:pPr>
      <w:bookmarkStart w:id="9" w:name="__RefHeading___Toc14014_4122350189"/>
      <w:bookmarkEnd w:id="9"/>
      <w:r>
        <w:rPr/>
        <w:t>Casi AGGIUNTI — Fase 2, dati e dominio (41)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72"/>
        <w:gridCol w:w="2171"/>
        <w:gridCol w:w="2896"/>
        <w:gridCol w:w="2172"/>
      </w:tblGrid>
      <w:tr>
        <w:trPr>
          <w:tblHeader w:val="true"/>
        </w:trPr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Famiglia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ID / descrizione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N.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CA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Vincolo univoco lista d’attesa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TC-BIB23-DB-001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004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4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CA-03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Vincolo DB anti-sovrapposizione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TC-BIB24-DB-001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003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3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CA-02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Helper autenticazione e ownership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TC-BIB26-001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007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7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CA-01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Validazione centralizzata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TC-BIB27-001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020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20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CA-02, CA-03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Operazioni transazionali di dominio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TC-BIB31-001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007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7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CA-02, CA-03, CA-04, CA-05</w:t>
            </w:r>
            <w:bookmarkStart w:id="10" w:name="casi-aggiunti-fase-2-dati-e-dominio-41"/>
            <w:bookmarkEnd w:id="10"/>
          </w:p>
        </w:tc>
      </w:tr>
    </w:tbl>
    <w:p>
      <w:pPr>
        <w:pStyle w:val="Heading1"/>
        <w:rPr/>
      </w:pPr>
      <w:bookmarkStart w:id="11" w:name="__RefHeading___Toc14016_4122350189"/>
      <w:bookmarkEnd w:id="11"/>
      <w:r>
        <w:rPr/>
        <w:t>Casi AGGIUNTI — Fase 3, API sicure (8)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72"/>
        <w:gridCol w:w="2171"/>
        <w:gridCol w:w="2896"/>
        <w:gridCol w:w="2172"/>
      </w:tblGrid>
      <w:tr>
        <w:trPr>
          <w:tblHeader w:val="true"/>
        </w:trPr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Famiglia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Casi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N.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CA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Autenticazione e ownership API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401 aggregato su 11 operazioni; 404 su GET/PATCH/DELETE altrui; identità del payload ignorata; studente su admin 403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6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CA-01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Concorrenza reale PostgreSQL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due richieste simultanee ripetute per tre round; N richieste senza record fantasma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2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CA-02</w:t>
            </w:r>
          </w:p>
        </w:tc>
      </w:tr>
    </w:tbl>
    <w:p>
      <w:pPr>
        <w:pStyle w:val="BodyText"/>
        <w:rPr/>
      </w:pPr>
      <w:r>
        <w:rPr/>
        <w:t xml:space="preserve">I due casi concorrenti sono identificati dalla descrizione e dal file </w:t>
      </w:r>
      <w:r>
        <w:rPr>
          <w:rStyle w:val="VerbatimChar"/>
        </w:rPr>
        <w:t>tests/integration/concorrenza.test.ts</w:t>
      </w:r>
      <w:r>
        <w:rPr/>
        <w:t xml:space="preserve">; i casi di ownership sono in </w:t>
      </w:r>
      <w:r>
        <w:rPr>
          <w:rStyle w:val="VerbatimChar"/>
        </w:rPr>
        <w:t>tests/integration/auth-prenotazioni.test.ts</w:t>
      </w:r>
      <w:r>
        <w:rPr/>
        <w:t xml:space="preserve">. I loro nomi sono stabili anche dove la suite originaria di Fase 3 non ha inserito un prefisso </w:t>
      </w:r>
      <w:r>
        <w:rPr>
          <w:rStyle w:val="VerbatimChar"/>
        </w:rPr>
        <w:t>TC-*</w:t>
      </w:r>
      <w:r>
        <w:rPr/>
        <w:t>.</w:t>
      </w:r>
    </w:p>
    <w:p>
      <w:pPr>
        <w:pStyle w:val="Heading1"/>
        <w:rPr/>
      </w:pPr>
      <w:bookmarkStart w:id="12" w:name="__RefHeading___Toc14018_4122350189"/>
      <w:bookmarkEnd w:id="12"/>
      <w:r>
        <w:rPr/>
        <w:t>Casi AGGIUNTI — Fase 4, automazioni/notifiche/realtime (72)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72"/>
        <w:gridCol w:w="2171"/>
        <w:gridCol w:w="2896"/>
        <w:gridCol w:w="2172"/>
      </w:tblGrid>
      <w:tr>
        <w:trPr>
          <w:tblHeader w:val="true"/>
        </w:trPr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Famiglia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ID / descrizione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N.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CA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No-show e processore coda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TC-BIB40-001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007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TC-BIB47-U1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8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CA-04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Lock cron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TC-BIB41-001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003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3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CA-04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Notifiche eventi coda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TC-BIB42-001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006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6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CA-05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Finestra conferma promozione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TC-BIB44-001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006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6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CA-04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Contratti realtime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TC-BIB45-001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010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10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CA-05, CA-06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Correlazione audit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TC-BIB46-001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006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6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CA-05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Integrazione automazioni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TC-BIB47-001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002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002b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003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008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9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CA-04, CA-05, CA-06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Rendering tipi notifica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5 tipi storici, 5 nuovi, 3 fallback e 11 verifiche parametriche complete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24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CA-05, CA-06</w:t>
            </w:r>
            <w:bookmarkStart w:id="13" w:name="X862f1ab7fb0790e9561bad0313b5f34c6074947"/>
            <w:bookmarkEnd w:id="13"/>
          </w:p>
        </w:tc>
      </w:tr>
    </w:tbl>
    <w:p>
      <w:pPr>
        <w:pStyle w:val="Heading1"/>
        <w:rPr/>
      </w:pPr>
      <w:bookmarkStart w:id="14" w:name="__RefHeading___Toc14020_4122350189"/>
      <w:bookmarkEnd w:id="14"/>
      <w:r>
        <w:rPr/>
        <w:t>Casi AGGIUNTI — Fase 5, admin e UI (60)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72"/>
        <w:gridCol w:w="2171"/>
        <w:gridCol w:w="2896"/>
        <w:gridCol w:w="2172"/>
      </w:tblGrid>
      <w:tr>
        <w:trPr>
          <w:tblHeader w:val="true"/>
        </w:trPr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Famiglia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ID / descrizione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N.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CA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Cancellazione admin e promozione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TC-BIB49-001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004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4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CA-04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Feedback staff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TC-BIB50-001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003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3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CA-06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Middleware coda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TC-BIB51-001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004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4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CA-01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Ingresso da mappa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TC-BIB52-001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002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2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CA-03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Parità mobile/mappa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TC-BIB53-001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005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5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CA-03, CA-06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Conflitto UI verso coda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TC-BIB54-001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004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4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CA-03, CA-06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Statistiche non inquinate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TC-BIB55-001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002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2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CA-06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Indicatore coda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TC-BIB56-001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004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4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CA-01, CA-06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Autorizzazione admin/coda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TC-BIB57-001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007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010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015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020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024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030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032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040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043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050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054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30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CA-01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Ciclo coda-promozione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TC-BIB58-001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–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002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2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CA-04, CA-05</w:t>
            </w:r>
          </w:p>
        </w:tc>
      </w:tr>
    </w:tbl>
    <w:p>
      <w:pPr>
        <w:pStyle w:val="Heading2"/>
        <w:rPr/>
      </w:pPr>
      <w:bookmarkStart w:id="15" w:name="__RefHeading___Toc14022_4122350189"/>
      <w:bookmarkEnd w:id="15"/>
      <w:r>
        <w:rPr/>
        <w:t>Nota sui target di sicurezza BIB-57</w:t>
      </w:r>
    </w:p>
    <w:p>
      <w:pPr>
        <w:pStyle w:val="FirstParagraph"/>
        <w:rPr/>
      </w:pPr>
      <w:r>
        <w:rPr>
          <w:rStyle w:val="VerbatimChar"/>
        </w:rPr>
        <w:t>TC-BIB57-051</w:t>
      </w:r>
      <w:r>
        <w:rPr/>
        <w:t xml:space="preserve"> e </w:t>
      </w:r>
      <w:r>
        <w:rPr>
          <w:rStyle w:val="VerbatimChar"/>
        </w:rPr>
        <w:t>TC-BIB57-054</w:t>
      </w:r>
      <w:r>
        <w:rPr/>
        <w:t xml:space="preserve"> sono oggi espressi come </w:t>
      </w:r>
      <w:r>
        <w:rPr>
          <w:rStyle w:val="VerbatimChar"/>
        </w:rPr>
        <w:t>it.fails</w:t>
      </w:r>
      <w:r>
        <w:rPr/>
        <w:t>: descrivono il risultato richiesto, ma confermano che tre percorsi admin restano aperti (</w:t>
      </w:r>
      <w:r>
        <w:rPr>
          <w:rStyle w:val="VerbatimChar"/>
        </w:rPr>
        <w:t>GET /api/admin/posti/[id]</w:t>
      </w:r>
      <w:r>
        <w:rPr/>
        <w:t xml:space="preserve"> per STUDENTE e </w:t>
      </w:r>
      <w:r>
        <w:rPr>
          <w:rStyle w:val="VerbatimChar"/>
        </w:rPr>
        <w:t>GET/PATCH /api/admin/richieste</w:t>
      </w:r>
      <w:r>
        <w:rPr/>
        <w:t xml:space="preserve"> senza guardia nel route handler). Sono casi aggiunti e devono comparire nel report BIB-61 come target non soddisfatti, non come test verdi equivalenti a CA-01. BIB-63 non potrà dichiarare CA-01 completamente verificato finché questa differenza non sarà chiusa o formalmente rimossa dal perimetro.</w:t>
      </w:r>
    </w:p>
    <w:p>
      <w:pPr>
        <w:pStyle w:val="Heading1"/>
        <w:rPr/>
      </w:pPr>
      <w:bookmarkStart w:id="16" w:name="__RefHeading___Toc14024_4122350189"/>
      <w:bookmarkStart w:id="17" w:name="Xeba11ed82a15dd034f07cf24cd416381bf2894d"/>
      <w:bookmarkEnd w:id="16"/>
      <w:r>
        <w:rPr/>
        <w:t>Casi AGGIUNTI — Correzione successiva, catalogo libri (5)</w:t>
      </w:r>
    </w:p>
    <w:p>
      <w:pPr>
        <w:pStyle w:val="FirstParagraph"/>
        <w:rPr/>
      </w:pPr>
      <w:r>
        <w:rPr/>
        <w:t xml:space="preserve">Aggiunti dalla PR #85 dopo la verifica dal vivo (difetto preesistente, non legato alla CR-BF-01). File: </w:t>
      </w:r>
      <w:r>
        <w:rPr>
          <w:rStyle w:val="VerbatimChar"/>
        </w:rPr>
        <w:t>tests/unit/catalogo-libri-campi.test.ts</w:t>
      </w:r>
      <w:r>
        <w:rPr/>
        <w:t>.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37"/>
        <w:gridCol w:w="3137"/>
        <w:gridCol w:w="3138"/>
      </w:tblGrid>
      <w:tr>
        <w:trPr>
          <w:tblHeader w:val="true"/>
        </w:trPr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ID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Caso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Esito atteso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CAT-001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Libro con copie libere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disponibile = true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CAT-002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Libro senza copie libere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disponibile = false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CAT-003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Campi esposti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annoPubblicazione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posizione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(“Piano 2 - Scaffale B3”) presenti, campi originali conservati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CAT-004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Scaffale e piano assenti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posizione = null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CAT-005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Piano 0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posizione = "Piano 0"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(zero è un piano valido)</w:t>
            </w:r>
          </w:p>
        </w:tc>
      </w:tr>
    </w:tbl>
    <w:p>
      <w:pPr>
        <w:pStyle w:val="BodyText"/>
        <w:rPr/>
      </w:pPr>
      <w:bookmarkStart w:id="18" w:name="Xeba11ed82a15dd034f07cf24cd416381bf2894d"/>
      <w:r>
        <w:rPr/>
        <w:t>Questi casi non modificano la suite della candidata #84 (758 test): sulla PR #85 la suite conta 763 test.</w:t>
      </w:r>
      <w:bookmarkEnd w:id="18"/>
    </w:p>
    <w:p>
      <w:pPr>
        <w:pStyle w:val="Heading1"/>
        <w:rPr/>
      </w:pPr>
      <w:bookmarkStart w:id="19" w:name="__RefHeading___Toc14026_4122350189"/>
      <w:bookmarkEnd w:id="19"/>
      <w:r>
        <w:rPr/>
        <w:t>Matrice criteri → famiglie di test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705"/>
        <w:gridCol w:w="4706"/>
      </w:tblGrid>
      <w:tr>
        <w:trPr>
          <w:tblHeader w:val="true"/>
        </w:trPr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Criterio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Famiglie principali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CA-01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BIB-26, autenticazione API Fase 3, BIB-51, BIB-56, BIB-57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CA-02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BIB-24 DB, BIB-27, BIB-31, concorrenza PostgreSQL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CA-03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BIB-23 DB, BIB-27/31 coda, BIB-52/53/54 UI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CA-04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BIB-31, BIB-40/41/44/47, BIB-49, BIB-58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CA-05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BIB-31, BIB-42/45/46/47, BIB-58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CA-06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casi invariati, BIB-43/45/47, BIB-50/53/54/55/56</w:t>
            </w:r>
            <w:bookmarkStart w:id="20" w:name="matrice-criteri-famiglie-di-test"/>
            <w:bookmarkEnd w:id="20"/>
          </w:p>
        </w:tc>
      </w:tr>
    </w:tbl>
    <w:p>
      <w:pPr>
        <w:pStyle w:val="Heading1"/>
        <w:rPr/>
      </w:pPr>
      <w:bookmarkStart w:id="21" w:name="__RefHeading___Toc14028_4122350189"/>
      <w:bookmarkEnd w:id="21"/>
      <w:r>
        <w:rPr/>
        <w:t>Comandi previsti per i report di esecuzione</w:t>
      </w:r>
    </w:p>
    <w:p>
      <w:pPr>
        <w:pStyle w:val="SourceCode"/>
        <w:rPr/>
      </w:pPr>
      <w:r>
        <w:rPr>
          <w:rStyle w:val="ExtensionTok"/>
        </w:rPr>
        <w:t>npm</w:t>
      </w:r>
      <w:r>
        <w:rPr>
          <w:rStyle w:val="NormalTok"/>
        </w:rPr>
        <w:t xml:space="preserve"> run test:db:prepare</w:t>
      </w:r>
      <w:r>
        <w:rPr/>
        <w:br/>
      </w:r>
      <w:r>
        <w:rPr>
          <w:rStyle w:val="ExtensionTok"/>
        </w:rPr>
        <w:t>npm</w:t>
      </w:r>
      <w:r>
        <w:rPr>
          <w:rStyle w:val="NormalTok"/>
        </w:rPr>
        <w:t xml:space="preserve"> test</w:t>
      </w:r>
      <w:r>
        <w:rPr/>
        <w:br/>
      </w:r>
      <w:r>
        <w:rPr>
          <w:rStyle w:val="ExtensionTok"/>
        </w:rPr>
        <w:t>npm</w:t>
      </w:r>
      <w:r>
        <w:rPr>
          <w:rStyle w:val="NormalTok"/>
        </w:rPr>
        <w:t xml:space="preserve"> run lint</w:t>
      </w:r>
      <w:r>
        <w:rPr/>
        <w:br/>
      </w:r>
      <w:r>
        <w:rPr>
          <w:rStyle w:val="ExtensionTok"/>
        </w:rPr>
        <w:t>npx</w:t>
      </w:r>
      <w:r>
        <w:rPr>
          <w:rStyle w:val="NormalTok"/>
        </w:rPr>
        <w:t xml:space="preserve"> tsc </w:t>
      </w:r>
      <w:r>
        <w:rPr>
          <w:rStyle w:val="AttributeTok"/>
        </w:rPr>
        <w:t>--noEmit</w:t>
      </w:r>
      <w:r>
        <w:rPr/>
        <w:br/>
      </w:r>
      <w:r>
        <w:rPr>
          <w:rStyle w:val="ExtensionTok"/>
        </w:rPr>
        <w:t>npm</w:t>
      </w:r>
      <w:r>
        <w:rPr>
          <w:rStyle w:val="NormalTok"/>
        </w:rPr>
        <w:t xml:space="preserve"> run build</w:t>
      </w:r>
      <w:r>
        <w:rPr/>
        <w:br/>
      </w:r>
      <w:r>
        <w:rPr>
          <w:rStyle w:val="ExtensionTok"/>
        </w:rPr>
        <w:t>npm</w:t>
      </w:r>
      <w:r>
        <w:rPr>
          <w:rStyle w:val="NormalTok"/>
        </w:rPr>
        <w:t xml:space="preserve"> audit </w:t>
      </w:r>
      <w:r>
        <w:rPr>
          <w:rStyle w:val="AttributeTok"/>
        </w:rPr>
        <w:t>--audit-level</w:t>
      </w:r>
      <w:r>
        <w:rPr>
          <w:rStyle w:val="OperatorTok"/>
        </w:rPr>
        <w:t>=</w:t>
      </w:r>
      <w:r>
        <w:rPr>
          <w:rStyle w:val="NormalTok"/>
        </w:rPr>
        <w:t>high</w:t>
      </w:r>
      <w:r>
        <w:rPr/>
        <w:br/>
      </w:r>
      <w:r>
        <w:rPr>
          <w:rStyle w:val="ExtensionTok"/>
        </w:rPr>
        <w:t>npm</w:t>
      </w:r>
      <w:r>
        <w:rPr>
          <w:rStyle w:val="NormalTok"/>
        </w:rPr>
        <w:t xml:space="preserve"> run test:db:down</w:t>
      </w:r>
    </w:p>
    <w:p>
      <w:pPr>
        <w:pStyle w:val="FirstParagraph"/>
        <w:spacing w:lineRule="auto" w:line="268" w:before="180" w:after="120"/>
        <w:rPr/>
      </w:pPr>
      <w:r>
        <w:rPr/>
        <w:t xml:space="preserve">La BIB-61 registrerà il commit esatto, l’ambiente e l’output della suite post-modifica. La BIB-62 rieseguirà esclusivamente i 20 casi invariati e confronterà ogni esito con </w:t>
      </w:r>
      <w:r>
        <w:rPr>
          <w:rStyle w:val="VerbatimChar"/>
        </w:rPr>
        <w:t>docs/test/report-pre-modifica.md</w:t>
      </w:r>
      <w:r>
        <w:rPr/>
        <w:t>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247" w:right="1247" w:gutter="0" w:header="720" w:top="1247" w:footer="720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/>
    </w:pPr>
    <w:r>
      <w:rPr>
        <w:sz w:val="17"/>
      </w:rPr>
      <w:t xml:space="preserve">Pagina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right"/>
      <w:rPr/>
    </w:pPr>
    <w:r>
      <w:rPr>
        <w:color w:val="707070"/>
        <w:sz w:val="17"/>
      </w:rPr>
      <w:t>BiblioFlow — CR-BF-01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libri" w:hAnsi="Calibri" w:eastAsia="Calibri" w:cs="Calibri"/>
      <w:color w:val="auto"/>
      <w:kern w:val="0"/>
      <w:sz w:val="21"/>
      <w:szCs w:val="24"/>
      <w:lang w:val="it-IT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320" w:after="120"/>
      <w:outlineLvl w:val="0"/>
    </w:pPr>
    <w:rPr>
      <w:rFonts w:ascii="Calibri" w:hAnsi="Calibri" w:eastAsia="Calibri" w:cs="Calibri"/>
      <w:b/>
      <w:bCs/>
      <w:i w:val="false"/>
      <w:color w:val="1F3A68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20" w:after="120"/>
      <w:outlineLvl w:val="1"/>
    </w:pPr>
    <w:rPr>
      <w:rFonts w:ascii="Calibri" w:hAnsi="Calibri" w:eastAsia="Calibri" w:cs="Calibri"/>
      <w:b/>
      <w:bCs/>
      <w:i w:val="false"/>
      <w:color w:val="1F3A68"/>
      <w:sz w:val="27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20" w:after="120"/>
      <w:outlineLvl w:val="2"/>
    </w:pPr>
    <w:rPr>
      <w:rFonts w:ascii="Calibri" w:hAnsi="Calibri" w:eastAsia="Calibri" w:cs="Calibri"/>
      <w:b/>
      <w:bCs/>
      <w:i w:val="false"/>
      <w:color w:val="1F3A68"/>
      <w:sz w:val="23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20" w:after="120"/>
      <w:outlineLvl w:val="3"/>
    </w:pPr>
    <w:rPr>
      <w:rFonts w:ascii="Calibri" w:hAnsi="Calibri" w:eastAsia="Calibri" w:cs="Calibri"/>
      <w:b/>
      <w:bCs/>
      <w:i w:val="false"/>
      <w:color w:val="1F3A68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20" w:after="120"/>
      <w:outlineLvl w:val="4"/>
    </w:pPr>
    <w:rPr>
      <w:rFonts w:ascii="Calibri" w:hAnsi="Calibri" w:eastAsia="Calibri" w:cs="Calibri"/>
      <w:b/>
      <w:i w:val="false"/>
      <w:iCs/>
      <w:color w:val="1F3A68"/>
      <w:sz w:val="21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20" w:after="120"/>
      <w:outlineLvl w:val="5"/>
    </w:pPr>
    <w:rPr>
      <w:rFonts w:ascii="Calibri" w:hAnsi="Calibri" w:eastAsia="Calibri" w:cs="Calibri"/>
      <w:b/>
      <w:i w:val="false"/>
      <w:color w:val="1F3A68"/>
      <w:sz w:val="21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 w:eastAsia="Consolas" w:cs="Consolas"/>
      <w:color w:val="8A1F3D"/>
      <w:sz w:val="18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val="1F5FA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68" w:before="180" w:after="120"/>
    </w:pPr>
    <w:rPr>
      <w:rFonts w:ascii="Calibri" w:hAnsi="Calibri" w:eastAsia="Calibri" w:cs="Calibri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68" w:before="180" w:after="120"/>
    </w:pPr>
    <w:rPr>
      <w:rFonts w:ascii="Calibri" w:hAnsi="Calibri" w:eastAsia="Calibri" w:cs="Calibri"/>
      <w:sz w:val="21"/>
    </w:rPr>
  </w:style>
  <w:style w:type="paragraph" w:styleId="Compact" w:customStyle="1">
    <w:name w:val="Compact"/>
    <w:basedOn w:val="BodyText"/>
    <w:qFormat/>
    <w:pPr>
      <w:spacing w:before="36" w:after="36"/>
    </w:pPr>
    <w:rPr>
      <w:rFonts w:ascii="Calibri" w:hAnsi="Calibri" w:eastAsia="Calibri" w:cs="Calibri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00"/>
      <w:jc w:val="left"/>
    </w:pPr>
    <w:rPr>
      <w:rFonts w:ascii="Calibri" w:hAnsi="Calibri" w:eastAsia="Calibri" w:cs="Calibri"/>
      <w:b/>
      <w:bCs/>
      <w:color w:val="1F3A68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left"/>
    </w:pPr>
    <w:rPr>
      <w:rFonts w:ascii="Calibri" w:hAnsi="Calibri" w:eastAsia="Calibri" w:cs="Calibri"/>
      <w:b w:val="false"/>
      <w:color w:val="444F60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it-IT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it-IT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Normal"/>
    <w:next w:val="BodyText"/>
    <w:uiPriority w:val="39"/>
    <w:unhideWhenUsed/>
    <w:qFormat/>
    <w:pPr>
      <w:spacing w:lineRule="auto" w:line="259" w:before="0" w:after="80"/>
    </w:pPr>
    <w:rPr>
      <w:rFonts w:ascii="Calibri" w:hAnsi="Calibri" w:eastAsia="Calibri" w:cs="Calibri"/>
      <w:b/>
      <w:bCs w:val="false"/>
      <w:color w:val="1F3A68"/>
      <w:sz w:val="34"/>
    </w:rPr>
  </w:style>
  <w:style w:type="paragraph" w:styleId="CoverKicker" w:customStyle="1">
    <w:name w:val="Cover Kicker"/>
    <w:basedOn w:val="Normal"/>
    <w:qFormat/>
    <w:pPr>
      <w:spacing w:before="3000" w:after="80"/>
    </w:pPr>
    <w:rPr>
      <w:rFonts w:ascii="Calibri" w:hAnsi="Calibri" w:eastAsia="Calibri" w:cs="Calibri"/>
      <w:b/>
      <w:color w:val="5A677D"/>
      <w:sz w:val="24"/>
    </w:rPr>
  </w:style>
  <w:style w:type="paragraph" w:styleId="CoverMeta" w:customStyle="1">
    <w:name w:val="Cover Meta"/>
    <w:basedOn w:val="Normal"/>
    <w:qFormat/>
    <w:pPr>
      <w:spacing w:before="160" w:after="80"/>
    </w:pPr>
    <w:rPr>
      <w:rFonts w:ascii="Calibri" w:hAnsi="Calibri" w:eastAsia="Calibri" w:cs="Calibri"/>
      <w:b w:val="false"/>
      <w:color w:val="333333"/>
      <w:sz w:val="21"/>
    </w:rPr>
  </w:style>
  <w:style w:type="paragraph" w:styleId="CoverLabel" w:customStyle="1">
    <w:name w:val="Cover Label"/>
    <w:basedOn w:val="Normal"/>
    <w:qFormat/>
    <w:pPr>
      <w:spacing w:before="520" w:after="80"/>
    </w:pPr>
    <w:rPr>
      <w:rFonts w:ascii="Calibri" w:hAnsi="Calibri" w:eastAsia="Calibri" w:cs="Calibri"/>
      <w:b/>
      <w:color w:val="1F3A68"/>
      <w:sz w:val="21"/>
    </w:rPr>
  </w:style>
  <w:style w:type="paragraph" w:styleId="CoverMember" w:customStyle="1">
    <w:name w:val="Cover Member"/>
    <w:basedOn w:val="Normal"/>
    <w:qFormat/>
    <w:pPr>
      <w:spacing w:before="40" w:after="80"/>
    </w:pPr>
    <w:rPr>
      <w:rFonts w:ascii="Calibri" w:hAnsi="Calibri" w:eastAsia="Calibri" w:cs="Calibri"/>
      <w:b w:val="false"/>
      <w:color w:val="222222"/>
      <w:sz w:val="22"/>
    </w:rPr>
  </w:style>
  <w:style w:type="paragraph" w:styleId="SourceCode" w:customStyle="1">
    <w:name w:val="Source Code"/>
    <w:basedOn w:val="Normal"/>
    <w:qFormat/>
    <w:pPr>
      <w:shd w:val="clear" w:color="auto" w:fill="F3F5F8"/>
      <w:spacing w:lineRule="auto" w:line="240" w:before="0" w:after="0"/>
    </w:pPr>
    <w:rPr>
      <w:rFonts w:ascii="Consolas" w:hAnsi="Consolas" w:eastAsia="Consolas" w:cs="Consolas"/>
      <w:sz w:val="17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412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129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8</Pages>
  <Words>1528</Words>
  <Characters>10386</Characters>
  <CharactersWithSpaces>11518</CharactersWithSpaces>
  <Paragraphs>372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2026-10-13T11:51:03Z</dcterms:created>
  <dc:creator/>
  <dc:description/>
  <dc:language>it-IT</dc:language>
  <cp:lastModifiedBy/>
  <dcterms:modified xsi:type="dcterms:W3CDTF">2026-10-13T13:51:12Z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