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verKicker"/>
        <w:spacing w:before="3000" w:after="80"/>
        <w:rPr/>
      </w:pPr>
      <w:r>
        <w:rPr/>
        <w:t>BiblioFlow — Change request CR-BF-01</w:t>
      </w:r>
    </w:p>
    <w:p>
      <w:pPr>
        <w:pStyle w:val="Title"/>
        <w:rPr/>
      </w:pPr>
      <w:r>
        <w:rPr/>
        <w:t>Report di analisi, progettazione e realizzazione</w:t>
      </w:r>
    </w:p>
    <w:p>
      <w:pPr>
        <w:pStyle w:val="CoverMeta"/>
        <w:rPr/>
      </w:pPr>
      <w:r>
        <w:rPr/>
        <w:t>Ingegneria, Gestione ed Evoluzione del Software — A.A. 2025/2026</w:t>
      </w:r>
    </w:p>
    <w:p>
      <w:pPr>
        <w:pStyle w:val="CoverLabel"/>
        <w:rPr/>
      </w:pPr>
      <w:r>
        <w:rPr/>
        <w:t>Gruppo</w:t>
      </w:r>
    </w:p>
    <w:p>
      <w:pPr>
        <w:pStyle w:val="CoverMember"/>
        <w:rPr/>
      </w:pPr>
      <w:r>
        <w:rPr/>
        <w:t>Mario Celzo — NF22500193</w:t>
      </w:r>
    </w:p>
    <w:p>
      <w:pPr>
        <w:pStyle w:val="CoverMember"/>
        <w:rPr/>
      </w:pPr>
      <w:r>
        <w:rPr/>
        <w:t>Renato Mancino — NF22500242</w:t>
      </w:r>
    </w:p>
    <w:p>
      <w:pPr>
        <w:pStyle w:val="CoverMember"/>
        <w:rPr/>
      </w:pPr>
      <w:r>
        <w:rPr/>
        <w:t>Alfonso Maria Ferrara — NF22500210</w:t>
      </w:r>
    </w:p>
    <w:p>
      <w:pPr>
        <w:pStyle w:val="CoverMeta"/>
        <w:rPr/>
      </w:pPr>
      <w:r>
        <w:rPr/>
        <w:t xml:space="preserve">Repository: https://github.com/mariocelzo/biblioflow-app — codice verificato al commit </w:t>
      </w:r>
      <w:r>
        <w:rPr>
          <w:rStyle w:val="VerbatimChar"/>
        </w:rPr>
        <w:t>066f198</w:t>
      </w:r>
    </w:p>
    <w:p>
      <w:pPr>
        <w:pStyle w:val="CoverMeta"/>
        <w:rPr/>
      </w:pPr>
      <w:r>
        <w:rPr/>
        <w:t>Data: 13 ottobre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OCHeading"/>
        <w:spacing w:before="0" w:after="80"/>
        <w:rPr/>
      </w:pPr>
      <w:r>
        <w:rPr/>
        <w:t>Indice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7552_3672760668">
            <w:r>
              <w:rPr>
                <w:webHidden/>
                <w:rStyle w:val="IndexLink"/>
              </w:rPr>
              <w:t>1. Identificazione</w:t>
              <w:tab/>
              <w:t>4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7554_3672760668">
            <w:r>
              <w:rPr>
                <w:webHidden/>
                <w:rStyle w:val="IndexLink"/>
              </w:rPr>
              <w:t>2. Sintesi della change request</w:t>
              <w:tab/>
              <w:t>4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7556_3672760668">
            <w:r>
              <w:rPr>
                <w:webHidden/>
                <w:rStyle w:val="IndexLink"/>
              </w:rPr>
              <w:t>3. Processo di impact analysis</w:t>
              <w:tab/>
              <w:t>4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558_3672760668">
            <w:r>
              <w:rPr>
                <w:webHidden/>
                <w:rStyle w:val="IndexLink"/>
              </w:rPr>
              <w:t>3.1 Metodo seguito</w:t>
              <w:tab/>
              <w:t>4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560_3672760668">
            <w:r>
              <w:rPr>
                <w:webHidden/>
                <w:rStyle w:val="IndexLink"/>
              </w:rPr>
              <w:t>3.2 Evidenze AS-IS</w:t>
              <w:tab/>
              <w:t>5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562_3672760668">
            <w:r>
              <w:rPr>
                <w:webHidden/>
                <w:rStyle w:val="IndexLink"/>
              </w:rPr>
              <w:t>3.3 Componenti impattati direttamente</w:t>
              <w:tab/>
              <w:t>5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564_3672760668">
            <w:r>
              <w:rPr>
                <w:webHidden/>
                <w:rStyle w:val="IndexLink"/>
              </w:rPr>
              <w:t>3.4 Componenti impattati indirettamente — ripple effect</w:t>
              <w:tab/>
              <w:t>5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7566_3672760668">
            <w:r>
              <w:rPr>
                <w:webHidden/>
                <w:rStyle w:val="IndexLink"/>
              </w:rPr>
              <w:t>4. Progettazione TO-BE</w:t>
              <w:tab/>
              <w:t>6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568_3672760668">
            <w:r>
              <w:rPr>
                <w:webHidden/>
                <w:rStyle w:val="IndexLink"/>
              </w:rPr>
              <w:t>4.1 Servizio di dominio unico</w:t>
              <w:tab/>
              <w:t>6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570_3672760668">
            <w:r>
              <w:rPr>
                <w:webHidden/>
                <w:rStyle w:val="IndexLink"/>
              </w:rPr>
              <w:t>4.2 Atomicità e concorrenza</w:t>
              <w:tab/>
              <w:t>6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572_3672760668">
            <w:r>
              <w:rPr>
                <w:webHidden/>
                <w:rStyle w:val="IndexLink"/>
              </w:rPr>
              <w:t>4.3 Modello della lista d’attesa</w:t>
              <w:tab/>
              <w:t>6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574_3672760668">
            <w:r>
              <w:rPr>
                <w:webHidden/>
                <w:rStyle w:val="IndexLink"/>
              </w:rPr>
              <w:t>4.4 Identità, ruoli e ownership</w:t>
              <w:tab/>
              <w:t>7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576_3672760668">
            <w:r>
              <w:rPr>
                <w:webHidden/>
                <w:rStyle w:val="IndexLink"/>
              </w:rPr>
              <w:t>4.5 Log, notifiche e aggiornamento client</w:t>
              <w:tab/>
              <w:t>7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578_3672760668">
            <w:r>
              <w:rPr>
                <w:webHidden/>
                <w:rStyle w:val="IndexLink"/>
              </w:rPr>
              <w:t>4.6 Diagrammi</w:t>
              <w:tab/>
              <w:t>7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7580_3672760668">
            <w:r>
              <w:rPr>
                <w:webHidden/>
                <w:rStyle w:val="IndexLink"/>
              </w:rPr>
              <w:t>5. Realizzazione incrementale</w:t>
              <w:tab/>
              <w:t>7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582_3672760668">
            <w:r>
              <w:rPr>
                <w:webHidden/>
                <w:rStyle w:val="IndexLink"/>
              </w:rPr>
              <w:t>5.1 Sequenza degli incrementi</w:t>
              <w:tab/>
              <w:t>7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584_3672760668">
            <w:r>
              <w:rPr>
                <w:webHidden/>
                <w:rStyle w:val="IndexLink"/>
              </w:rPr>
              <w:t>5.2 Migrazioni dati</w:t>
              <w:tab/>
              <w:t>8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586_3672760668">
            <w:r>
              <w:rPr>
                <w:webHidden/>
                <w:rStyle w:val="IndexLink"/>
              </w:rPr>
              <w:t>5.3 Cronologia Git sintetica</w:t>
              <w:tab/>
              <w:t>8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7588_3672760668">
            <w:r>
              <w:rPr>
                <w:webHidden/>
                <w:rStyle w:val="IndexLink"/>
              </w:rPr>
              <w:t>6. Criteri di accettazione ed evidenze</w:t>
              <w:tab/>
              <w:t>9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7590_3672760668">
            <w:r>
              <w:rPr>
                <w:webHidden/>
                <w:rStyle w:val="IndexLink"/>
              </w:rPr>
              <w:t>7. Strategia ed esiti di test</w:t>
              <w:tab/>
              <w:t>9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592_3672760668">
            <w:r>
              <w:rPr>
                <w:webHidden/>
                <w:rStyle w:val="IndexLink"/>
              </w:rPr>
              <w:t>7.1 Deliverable</w:t>
              <w:tab/>
              <w:t>9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594_3672760668">
            <w:r>
              <w:rPr>
                <w:webHidden/>
                <w:rStyle w:val="IndexLink"/>
              </w:rPr>
              <w:t>7.2 Risultati consolidati</w:t>
              <w:tab/>
              <w:t>9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7596_3672760668">
            <w:r>
              <w:rPr>
                <w:webHidden/>
                <w:rStyle w:val="IndexLink"/>
              </w:rPr>
              <w:t>8. Anomalie e limiti osservati</w:t>
              <w:tab/>
              <w:t>10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7598_3672760668">
            <w:r>
              <w:rPr>
                <w:webHidden/>
                <w:rStyle w:val="IndexLink"/>
              </w:rPr>
              <w:t>9. Valutazione finale</w:t>
              <w:tab/>
              <w:t>10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7600_3672760668">
            <w:r>
              <w:rPr>
                <w:webHidden/>
                <w:rStyle w:val="IndexLink"/>
              </w:rPr>
              <w:t>Appendice A — Analisi AS-IS e impact analysis</w:t>
              <w:tab/>
              <w:t>11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602_3672760668">
            <w:r>
              <w:rPr>
                <w:webHidden/>
                <w:rStyle w:val="IndexLink"/>
              </w:rPr>
              <w:t>Componenti del sottosistema prenotazione — AS-IS</w:t>
              <w:tab/>
              <w:t>11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604_3672760668">
            <w:r>
              <w:rPr>
                <w:webHidden/>
                <w:rStyle w:val="IndexLink"/>
              </w:rPr>
              <w:t>Stati di Prenotazione — AS-IS</w:t>
              <w:tab/>
              <w:t>14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606_3672760668">
            <w:r>
              <w:rPr>
                <w:webHidden/>
                <w:rStyle w:val="IndexLink"/>
              </w:rPr>
              <w:t>Matrice ruoli-operazioni — AS-IS</w:t>
              <w:tab/>
              <w:t>15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7608_3672760668">
            <w:r>
              <w:rPr>
                <w:webHidden/>
                <w:rStyle w:val="IndexLink"/>
              </w:rPr>
              <w:t>Appendice B — Progettazione TO-BE</w:t>
              <w:tab/>
              <w:t>21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610_3672760668">
            <w:r>
              <w:rPr>
                <w:webHidden/>
                <w:rStyle w:val="IndexLink"/>
              </w:rPr>
              <w:t>Componenti del sottosistema prenotazione — TO-BE</w:t>
              <w:tab/>
              <w:t>21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612_3672760668">
            <w:r>
              <w:rPr>
                <w:webHidden/>
                <w:rStyle w:val="IndexLink"/>
              </w:rPr>
              <w:t>Stati di prenotazione e lista d’attesa — TO-BE</w:t>
              <w:tab/>
              <w:t>22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614_3672760668">
            <w:r>
              <w:rPr>
                <w:webHidden/>
                <w:rStyle w:val="IndexLink"/>
              </w:rPr>
              <w:t>Sottosistema prenotazioni — confronto AS-IS / TO-BE</w:t>
              <w:tab/>
              <w:t>24</w:t>
            </w:r>
          </w:hyperlink>
        </w:p>
        <w:p>
          <w:pPr>
            <w:pStyle w:val="TOC1"/>
            <w:tabs>
              <w:tab w:val="clear" w:pos="9412"/>
              <w:tab w:val="right" w:pos="9411" w:leader="dot"/>
            </w:tabs>
            <w:rPr/>
          </w:pPr>
          <w:hyperlink w:anchor="__RefHeading___Toc7616_3672760668">
            <w:r>
              <w:rPr>
                <w:webHidden/>
                <w:rStyle w:val="IndexLink"/>
              </w:rPr>
              <w:t>Appendice C — Verifica finale dei criteri di accettazione</w:t>
              <w:tab/>
              <w:t>27</w:t>
            </w:r>
          </w:hyperlink>
        </w:p>
        <w:p>
          <w:pPr>
            <w:pStyle w:val="TOC2"/>
            <w:tabs>
              <w:tab w:val="clear" w:pos="9129"/>
              <w:tab w:val="right" w:pos="9411" w:leader="dot"/>
            </w:tabs>
            <w:rPr/>
          </w:pPr>
          <w:hyperlink w:anchor="__RefHeading___Toc7618_3672760668">
            <w:r>
              <w:rPr>
                <w:webHidden/>
                <w:rStyle w:val="IndexLink"/>
              </w:rPr>
              <w:t>Verifica finale dei criteri di accettazione — CR-BF-01</w:t>
              <w:tab/>
              <w:t>27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before="0" w:after="200"/>
        <w:jc w:val="left"/>
        <w:rPr>
          <w:rFonts w:ascii="Calibri" w:hAnsi="Calibri" w:eastAsia="Calibri" w:cs="Calibri"/>
          <w:sz w:val="21"/>
        </w:rPr>
      </w:pPr>
      <w:r>
        <w:rPr>
          <w:rFonts w:eastAsia="Calibri" w:cs="Calibri"/>
          <w:sz w:val="21"/>
        </w:rPr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7552_3672760668"/>
      <w:bookmarkEnd w:id="0"/>
      <w:r>
        <w:rPr/>
        <w:t>1. Identificazione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705"/>
        <w:gridCol w:w="4706"/>
      </w:tblGrid>
      <w:tr>
        <w:trPr>
          <w:tblHeader w:val="true"/>
        </w:trPr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Campo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Valore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Progetto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BiblioFlow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Change request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CR-BF-01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Task documentale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hyperlink r:id="rId2">
              <w:r>
                <w:rPr>
                  <w:rStyle w:val="Hyperlink"/>
                  <w:kern w:val="0"/>
                  <w:szCs w:val="24"/>
                  <w:lang w:val="it-IT" w:eastAsia="en-US" w:bidi="ar-SA"/>
                </w:rPr>
                <w:t>BIB-65</w:t>
              </w:r>
            </w:hyperlink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Corso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Ingegneria, Gestione ed Evoluzione del Software — A.A. 2025/2026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Baseline immutabile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tag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baseline-pre-cr-bf-01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commit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e0742bfca4c5b05a0223bbca71f9756af9f42596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Versione finale analizzata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candidata del 2026-10-13: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main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@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59a0d54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+ PR #82 + PR #83 + chiusura finale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Esito dei criteri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6 criteri verificati su 6</w:t>
            </w:r>
            <w:bookmarkStart w:id="1" w:name="identificazione"/>
            <w:bookmarkEnd w:id="1"/>
          </w:p>
        </w:tc>
      </w:tr>
    </w:tbl>
    <w:p>
      <w:pPr>
        <w:pStyle w:val="Heading1"/>
        <w:rPr/>
      </w:pPr>
      <w:bookmarkStart w:id="2" w:name="__RefHeading___Toc7554_3672760668"/>
      <w:bookmarkEnd w:id="2"/>
      <w:r>
        <w:rPr/>
        <w:t>2. Sintesi della change request</w:t>
      </w:r>
    </w:p>
    <w:p>
      <w:pPr>
        <w:pStyle w:val="FirstParagraph"/>
        <w:rPr/>
      </w:pPr>
      <w:r>
        <w:rPr/>
        <w:t>CR-BF-01 ha reso sicuro e consistente il processo di prenotazione dei posti studio. Nella baseline l’identità poteva provenire dal client, la verifica di disponibilità e la scrittura erano separate e non esisteva una lista d’attesa. La modifica introduce:</w:t>
      </w:r>
    </w:p>
    <w:p>
      <w:pPr>
        <w:pStyle w:val="Compact"/>
        <w:numPr>
          <w:ilvl w:val="0"/>
          <w:numId w:val="29"/>
        </w:numPr>
        <w:rPr/>
      </w:pPr>
      <w:r>
        <w:rPr/>
        <w:t>identità e ownership derivate dalla sessione autenticata;</w:t>
      </w:r>
    </w:p>
    <w:p>
      <w:pPr>
        <w:pStyle w:val="Compact"/>
        <w:numPr>
          <w:ilvl w:val="0"/>
          <w:numId w:val="1"/>
        </w:numPr>
        <w:rPr/>
      </w:pPr>
      <w:r>
        <w:rPr/>
        <w:t>validazione centralizzata degli intervalli;</w:t>
      </w:r>
    </w:p>
    <w:p>
      <w:pPr>
        <w:pStyle w:val="Compact"/>
        <w:numPr>
          <w:ilvl w:val="0"/>
          <w:numId w:val="1"/>
        </w:numPr>
        <w:rPr/>
      </w:pPr>
      <w:r>
        <w:rPr/>
        <w:t>creazione atomica con transazione e vincolo PostgreSQL;</w:t>
      </w:r>
    </w:p>
    <w:p>
      <w:pPr>
        <w:pStyle w:val="Compact"/>
        <w:numPr>
          <w:ilvl w:val="0"/>
          <w:numId w:val="1"/>
        </w:numPr>
        <w:rPr/>
      </w:pPr>
      <w:r>
        <w:rPr/>
        <w:t>lista d’attesa FIFO senza duplicati attivi;</w:t>
      </w:r>
    </w:p>
    <w:p>
      <w:pPr>
        <w:pStyle w:val="Compact"/>
        <w:numPr>
          <w:ilvl w:val="0"/>
          <w:numId w:val="1"/>
        </w:numPr>
        <w:rPr/>
      </w:pPr>
      <w:r>
        <w:rPr/>
        <w:t>promozione automatica e idempotente su cancellazione, no-show e scadenza;</w:t>
      </w:r>
    </w:p>
    <w:p>
      <w:pPr>
        <w:pStyle w:val="Compact"/>
        <w:numPr>
          <w:ilvl w:val="0"/>
          <w:numId w:val="1"/>
        </w:numPr>
        <w:rPr/>
      </w:pPr>
      <w:r>
        <w:rPr/>
        <w:t>log e notifiche persistenti correlati alle transizioni;</w:t>
      </w:r>
    </w:p>
    <w:p>
      <w:pPr>
        <w:pStyle w:val="Compact"/>
        <w:numPr>
          <w:ilvl w:val="0"/>
          <w:numId w:val="1"/>
        </w:numPr>
        <w:rPr/>
      </w:pPr>
      <w:r>
        <w:rPr/>
        <w:t>adeguamenti di API, amministrazione, interfacce e statistiche necessari a evitare regressioni.</w:t>
      </w:r>
    </w:p>
    <w:p>
      <w:pPr>
        <w:pStyle w:val="FirstParagraph"/>
        <w:rPr/>
      </w:pPr>
      <w:r>
        <w:rPr/>
        <w:t>L’intervento è evolutivo: amplia il flusso di prenotazione senza riprogettare l’intera applicazione, cambiare framework o modificare i processi di prestito e preparazione libri oltre ai controlli di regressione.</w:t>
      </w:r>
    </w:p>
    <w:p>
      <w:pPr>
        <w:pStyle w:val="Heading1"/>
        <w:rPr/>
      </w:pPr>
      <w:bookmarkStart w:id="3" w:name="__RefHeading___Toc7556_3672760668"/>
      <w:bookmarkStart w:id="4" w:name="processo-di-impact-analysis"/>
      <w:bookmarkEnd w:id="3"/>
      <w:r>
        <w:rPr/>
        <w:t>3. Processo di impact analysis</w:t>
      </w:r>
    </w:p>
    <w:p>
      <w:pPr>
        <w:pStyle w:val="Heading2"/>
        <w:rPr/>
      </w:pPr>
      <w:bookmarkStart w:id="5" w:name="__RefHeading___Toc7558_3672760668"/>
      <w:bookmarkStart w:id="6" w:name="metodo-seguito"/>
      <w:bookmarkEnd w:id="5"/>
      <w:r>
        <w:rPr/>
        <w:t>3.1 Metodo seguito</w:t>
      </w:r>
    </w:p>
    <w:p>
      <w:pPr>
        <w:pStyle w:val="FirstParagraph"/>
        <w:rPr/>
      </w:pPr>
      <w:r>
        <w:rPr/>
        <w:t>L’impact analysis è stata eseguita prima delle modifiche applicative e ha seguito un processo ripetibile: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Congelamento della baseline.</w:t>
      </w:r>
      <w:r>
        <w:rPr/>
        <w:t xml:space="preserve"> Il tag </w:t>
      </w:r>
      <w:r>
        <w:rPr>
          <w:rStyle w:val="VerbatimChar"/>
        </w:rPr>
        <w:t>baseline-pre-cr-bf-01</w:t>
      </w:r>
      <w:r>
        <w:rPr/>
        <w:t xml:space="preserve"> è stato mantenuto immutabile per separare comportamento originale e TO-BE.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Inventario statico.</w:t>
      </w:r>
      <w:r>
        <w:rPr/>
        <w:t xml:space="preserve"> Sono stati esaminati schema Prisma, route handler, import, chiamate HTTP, accessi al database, middleware, automazioni, notifiche, componenti UI e statistiche.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Modellazione AS-IS.</w:t>
      </w:r>
      <w:r>
        <w:rPr/>
        <w:t xml:space="preserve"> Sono stati prodotti diagramma dei componenti, diagramma degli stati e matrice ruoli-operazioni.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>Caratterizzazione eseguibile.</w:t>
      </w:r>
      <w:r>
        <w:rPr/>
        <w:t xml:space="preserve"> I casi pre-modifica hanno fissato i comportamenti corretti e i difetti osservati prima di toccare il codice.</w:t>
      </w:r>
    </w:p>
    <w:p>
      <w:pPr>
        <w:pStyle w:val="Compact"/>
        <w:numPr>
          <w:ilvl w:val="0"/>
          <w:numId w:val="34"/>
        </w:numPr>
        <w:rPr/>
      </w:pPr>
      <w:r>
        <w:rPr>
          <w:b/>
          <w:bCs/>
        </w:rPr>
        <w:t>Propagazione dell’impatto.</w:t>
      </w:r>
      <w:r>
        <w:rPr/>
        <w:t xml:space="preserve"> Per ogni componente direttamente modificato sono stati seguiti produttori, consumatori e dati condivisi, identificando i ripple effect.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Realizzazione incrementale.</w:t>
      </w:r>
      <w:r>
        <w:rPr/>
        <w:t xml:space="preserve"> Dati e dominio hanno preceduto API, automazioni, interfacce e verifiche finali.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Confronto post-modifica.</w:t>
      </w:r>
      <w:r>
        <w:rPr/>
        <w:t xml:space="preserve"> I casi sono stati classificati come aggiunti, modificati, invariati o eliminati e collegati ai criteri CA-01–CA-06.</w:t>
      </w:r>
      <w:bookmarkEnd w:id="6"/>
    </w:p>
    <w:p>
      <w:pPr>
        <w:pStyle w:val="Heading2"/>
        <w:rPr/>
      </w:pPr>
      <w:bookmarkStart w:id="7" w:name="__RefHeading___Toc7560_3672760668"/>
      <w:bookmarkStart w:id="8" w:name="evidenze-as-is"/>
      <w:bookmarkEnd w:id="7"/>
      <w:r>
        <w:rPr/>
        <w:t>3.2 Evidenze AS-IS</w:t>
      </w:r>
    </w:p>
    <w:p>
      <w:pPr>
        <w:pStyle w:val="FirstParagraph"/>
        <w:rPr/>
      </w:pPr>
      <w:r>
        <w:rPr/>
        <w:t>I documenti di analisi originali restano separati dal presente report; nella versione impaginata (PDF e Word) diagrammi e matrice sono riprodotti integralmente nell’Appendice A.</w:t>
      </w:r>
    </w:p>
    <w:p>
      <w:pPr>
        <w:pStyle w:val="Compact"/>
        <w:numPr>
          <w:ilvl w:val="0"/>
          <w:numId w:val="3"/>
        </w:numPr>
        <w:rPr/>
      </w:pPr>
      <w:r>
        <w:rPr/>
        <w:t>diagramma componenti AS-IS;</w:t>
      </w:r>
    </w:p>
    <w:p>
      <w:pPr>
        <w:pStyle w:val="Compact"/>
        <w:numPr>
          <w:ilvl w:val="0"/>
          <w:numId w:val="3"/>
        </w:numPr>
        <w:rPr/>
      </w:pPr>
      <w:r>
        <w:rPr/>
        <w:t>diagramma stati Prenotazione AS-IS;</w:t>
      </w:r>
    </w:p>
    <w:p>
      <w:pPr>
        <w:pStyle w:val="Compact"/>
        <w:numPr>
          <w:ilvl w:val="0"/>
          <w:numId w:val="3"/>
        </w:numPr>
        <w:rPr/>
      </w:pPr>
      <w:r>
        <w:rPr/>
        <w:t>matrice ruoli-operazioni AS-IS;</w:t>
      </w:r>
    </w:p>
    <w:p>
      <w:pPr>
        <w:pStyle w:val="Compact"/>
        <w:numPr>
          <w:ilvl w:val="0"/>
          <w:numId w:val="3"/>
        </w:numPr>
        <w:rPr/>
      </w:pPr>
      <w:r>
        <w:rPr/>
        <w:t>specifica dei test pre-modifica;</w:t>
      </w:r>
    </w:p>
    <w:p>
      <w:pPr>
        <w:pStyle w:val="Compact"/>
        <w:numPr>
          <w:ilvl w:val="0"/>
          <w:numId w:val="3"/>
        </w:numPr>
        <w:rPr/>
      </w:pPr>
      <w:r>
        <w:rPr/>
        <w:t>report di esecuzione pre-modifica.</w:t>
      </w:r>
    </w:p>
    <w:p>
      <w:pPr>
        <w:pStyle w:val="FirstParagraph"/>
        <w:rPr/>
      </w:pPr>
      <w:r>
        <w:rPr/>
        <w:t>L’analisi ha evidenziato quattro cause principali:</w:t>
      </w:r>
    </w:p>
    <w:p>
      <w:pPr>
        <w:pStyle w:val="Compact"/>
        <w:numPr>
          <w:ilvl w:val="0"/>
          <w:numId w:val="37"/>
        </w:numPr>
        <w:rPr/>
      </w:pPr>
      <w:r>
        <w:rPr/>
        <w:t xml:space="preserve">alcune route si fidavano di </w:t>
      </w:r>
      <w:r>
        <w:rPr>
          <w:rStyle w:val="VerbatimChar"/>
        </w:rPr>
        <w:t>userId</w:t>
      </w:r>
      <w:r>
        <w:rPr/>
        <w:t xml:space="preserve"> proveniente da payload o query string;</w:t>
      </w:r>
    </w:p>
    <w:p>
      <w:pPr>
        <w:pStyle w:val="Compact"/>
        <w:numPr>
          <w:ilvl w:val="0"/>
          <w:numId w:val="38"/>
        </w:numPr>
        <w:rPr/>
      </w:pPr>
      <w:r>
        <w:rPr/>
        <w:t>creazione ed estensione duplicavano regole di validazione;</w:t>
      </w:r>
    </w:p>
    <w:p>
      <w:pPr>
        <w:pStyle w:val="Compact"/>
        <w:numPr>
          <w:ilvl w:val="0"/>
          <w:numId w:val="39"/>
        </w:numPr>
        <w:rPr/>
      </w:pPr>
      <w:r>
        <w:rPr/>
        <w:t>controllo della disponibilità e creazione non costituivano un’operazione atomica e il database non impediva le sovrapposizioni;</w:t>
      </w:r>
    </w:p>
    <w:p>
      <w:pPr>
        <w:pStyle w:val="Compact"/>
        <w:numPr>
          <w:ilvl w:val="0"/>
          <w:numId w:val="40"/>
        </w:numPr>
        <w:rPr/>
      </w:pPr>
      <w:bookmarkStart w:id="9" w:name="evidenze-as-is"/>
      <w:r>
        <w:rPr/>
        <w:t>cancellazioni e no-show liberavano un posto senza alcun ciclo di coda.</w:t>
      </w:r>
      <w:bookmarkEnd w:id="9"/>
    </w:p>
    <w:p>
      <w:pPr>
        <w:pStyle w:val="Heading2"/>
        <w:rPr/>
      </w:pPr>
      <w:bookmarkStart w:id="10" w:name="__RefHeading___Toc7562_3672760668"/>
      <w:bookmarkEnd w:id="10"/>
      <w:r>
        <w:rPr/>
        <w:t>3.3 Componenti impattati direttamente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37"/>
        <w:gridCol w:w="3137"/>
        <w:gridCol w:w="3138"/>
      </w:tblGrid>
      <w:tr>
        <w:trPr>
          <w:tblHeader w:val="true"/>
        </w:trPr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Componente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Motivo dell’impatto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Risultato TO-BE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prisma/schema.prisma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migrazioni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Servivano entità, stati, indici e garanzie DB.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ListaAttesa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, enum di coda, unicità attiva, indice FIFO e exclusion constraint sulle prenotazioni attive.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src/lib/auth.ts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L’identità non poteva restare autorevole nel payload.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Helper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requireUser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requireRole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assertOwnership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con errori 401/403/404 coerenti.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src/lib/prenotazioni-service.ts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Le regole erano duplicate tra endpoint.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Unico servizio di dominio per validazione, transazioni, coda e promozione.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src/app/api/prenotazioni/**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Le API dovevano usare sessione, dominio e contratti sicuri.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Ownership, validazione condivisa, creazione atomica, estensione coerente e API coda.</w:t>
            </w:r>
            <w:bookmarkStart w:id="11" w:name="componenti-impattati-direttamente"/>
            <w:bookmarkEnd w:id="11"/>
          </w:p>
        </w:tc>
      </w:tr>
    </w:tbl>
    <w:p>
      <w:pPr>
        <w:pStyle w:val="Heading2"/>
        <w:rPr/>
      </w:pPr>
      <w:bookmarkStart w:id="12" w:name="__RefHeading___Toc7564_3672760668"/>
      <w:bookmarkEnd w:id="12"/>
      <w:r>
        <w:rPr/>
        <w:t>3.4 Componenti impattati indirettamente — ripple effect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37"/>
        <w:gridCol w:w="3137"/>
        <w:gridCol w:w="3138"/>
      </w:tblGrid>
      <w:tr>
        <w:trPr>
          <w:tblHeader w:val="true"/>
        </w:trPr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Area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Dipendenza propagata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Adeguamento e rischio evitato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Automazioni e cron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No-show e scadenze liberano intervalli prenotabili.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Invocazione della promozione di dominio, lock e idempotenza; evitati doppi assegnamenti e notifiche duplicate.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Cancellazione amministrativa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La cancellazione staff modifica lo stesso stato usato dalla coda.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Promozione dopo il rilascio e feedback esplicito; evitato un posto libero con coda ferma.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Check-in e scanner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Una richiesta in attesa non equivale a una prenotazione.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Controlli su identità, ownership e stati ammessi; evitato il check-in di utenti non promossi.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Notifiche e log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Nuove transizioni richiedono nuovi tipi persistiti.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Enum estesi, riferimenti correlati e rendering con fallback; conservati i tipi storici.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Aggiornamento client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La disponibilità cambia anche per coda e automazioni.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Rilettura autenticata delle API e polling leggero delle notifiche; rimossi helper SSE scollegati e in-memory.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Mappa e vista mobile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Il conflitto non è più un vicolo cieco.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Ingresso in coda da entrambe le viste e dal dialog di conflitto.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Middleware e route admin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 nuovi endpoint e i dati amministrativi devono rispettare RBAC.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Protezione delle route coda e chiusura dei varchi 401/403 individuati dalla verifica finale.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Statistiche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 nuovi eventi non devono alterare indicatori preesistenti.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Filtri e indicatore dedicato alla coda; conservata la distribuzione no-show.</w:t>
            </w:r>
          </w:p>
        </w:tc>
      </w:tr>
    </w:tbl>
    <w:p>
      <w:pPr>
        <w:pStyle w:val="BodyText"/>
        <w:rPr/>
      </w:pPr>
      <w:bookmarkStart w:id="13" w:name="processo-di-impact-analysis"/>
      <w:r>
        <w:rPr/>
        <w:t>Questa distinzione ha impedito di limitare la modifica ai soli file nominati dalla richiesta: la propagazione verso i consumatori è stata trattata come parte verificabile della manutenzione, non come lavoro accessorio.</w:t>
      </w:r>
      <w:bookmarkEnd w:id="13"/>
    </w:p>
    <w:p>
      <w:pPr>
        <w:pStyle w:val="Heading1"/>
        <w:rPr/>
      </w:pPr>
      <w:bookmarkStart w:id="14" w:name="__RefHeading___Toc7566_3672760668"/>
      <w:bookmarkStart w:id="15" w:name="progettazione-to-be"/>
      <w:bookmarkEnd w:id="14"/>
      <w:r>
        <w:rPr/>
        <w:t>4. Progettazione TO-BE</w:t>
      </w:r>
    </w:p>
    <w:p>
      <w:pPr>
        <w:pStyle w:val="Heading2"/>
        <w:rPr/>
      </w:pPr>
      <w:bookmarkStart w:id="16" w:name="__RefHeading___Toc7568_3672760668"/>
      <w:bookmarkStart w:id="17" w:name="servizio-di-dominio-unico"/>
      <w:bookmarkEnd w:id="16"/>
      <w:r>
        <w:rPr/>
        <w:t>4.1 Servizio di dominio unico</w:t>
      </w:r>
    </w:p>
    <w:p>
      <w:pPr>
        <w:pStyle w:val="FirstParagraph"/>
        <w:rPr/>
      </w:pPr>
      <w:r>
        <w:rPr>
          <w:rStyle w:val="VerbatimChar"/>
        </w:rPr>
        <w:t>src/lib/prenotazioni-service.ts</w:t>
      </w:r>
      <w:r>
        <w:rPr/>
        <w:t xml:space="preserve"> è il punto unico delle regole di prenotazione e lista d’attesa. Non dipende da </w:t>
      </w:r>
      <w:r>
        <w:rPr>
          <w:rStyle w:val="VerbatimChar"/>
        </w:rPr>
        <w:t>Request</w:t>
      </w:r>
      <w:r>
        <w:rPr/>
        <w:t xml:space="preserve"> o </w:t>
      </w:r>
      <w:r>
        <w:rPr>
          <w:rStyle w:val="VerbatimChar"/>
        </w:rPr>
        <w:t>Response</w:t>
      </w:r>
      <w:r>
        <w:rPr/>
        <w:t>, quindi gli endpoint traducono soltanto input, sessione ed errori HTTP. Il servizio controlla:</w:t>
      </w:r>
    </w:p>
    <w:p>
      <w:pPr>
        <w:pStyle w:val="Compact"/>
        <w:numPr>
          <w:ilvl w:val="0"/>
          <w:numId w:val="41"/>
        </w:numPr>
        <w:rPr/>
      </w:pPr>
      <w:r>
        <w:rPr/>
        <w:t>data non passata, ordine degli orari e durata massima;</w:t>
      </w:r>
    </w:p>
    <w:p>
      <w:pPr>
        <w:pStyle w:val="Compact"/>
        <w:numPr>
          <w:ilvl w:val="0"/>
          <w:numId w:val="42"/>
        </w:numPr>
        <w:rPr/>
      </w:pPr>
      <w:r>
        <w:rPr/>
        <w:t>apertura della sala e stato attivo/non in manutenzione del posto;</w:t>
      </w:r>
    </w:p>
    <w:p>
      <w:pPr>
        <w:pStyle w:val="Compact"/>
        <w:numPr>
          <w:ilvl w:val="0"/>
          <w:numId w:val="43"/>
        </w:numPr>
        <w:rPr/>
      </w:pPr>
      <w:r>
        <w:rPr/>
        <w:t>sovrapposizioni sullo stesso posto;</w:t>
      </w:r>
    </w:p>
    <w:p>
      <w:pPr>
        <w:pStyle w:val="Compact"/>
        <w:numPr>
          <w:ilvl w:val="0"/>
          <w:numId w:val="44"/>
        </w:numPr>
        <w:rPr/>
      </w:pPr>
      <w:r>
        <w:rPr/>
        <w:t>ingresso, annullamento e posizione FIFO della richiesta;</w:t>
      </w:r>
    </w:p>
    <w:p>
      <w:pPr>
        <w:pStyle w:val="Compact"/>
        <w:numPr>
          <w:ilvl w:val="0"/>
          <w:numId w:val="45"/>
        </w:numPr>
        <w:rPr/>
      </w:pPr>
      <w:r>
        <w:rPr/>
        <w:t>promozione del primo utente eleggibile.</w:t>
      </w:r>
    </w:p>
    <w:p>
      <w:pPr>
        <w:pStyle w:val="FirstParagraph"/>
        <w:rPr/>
      </w:pPr>
      <w:bookmarkStart w:id="18" w:name="servizio-di-dominio-unico"/>
      <w:r>
        <w:rPr/>
        <w:t>Gli errori hanno codice stabile e messaggio non tecnico. Creazione ed estensione non possono quindi divergere silenziosamente nell’interpretazione dello stesso intervallo.</w:t>
      </w:r>
      <w:bookmarkEnd w:id="18"/>
    </w:p>
    <w:p>
      <w:pPr>
        <w:pStyle w:val="Heading2"/>
        <w:rPr/>
      </w:pPr>
      <w:bookmarkStart w:id="19" w:name="__RefHeading___Toc7570_3672760668"/>
      <w:bookmarkStart w:id="20" w:name="atomicità-e-concorrenza"/>
      <w:bookmarkEnd w:id="19"/>
      <w:r>
        <w:rPr/>
        <w:t>4.2 Atomicità e concorrenza</w:t>
      </w:r>
    </w:p>
    <w:p>
      <w:pPr>
        <w:pStyle w:val="FirstParagraph"/>
        <w:rPr/>
      </w:pPr>
      <w:r>
        <w:rPr/>
        <w:t>La sola verifica applicativa non è sufficiente: due richieste possono leggere contemporaneamente lo stesso stato libero. La soluzione usa due livelli:</w:t>
      </w:r>
    </w:p>
    <w:p>
      <w:pPr>
        <w:pStyle w:val="Compact"/>
        <w:numPr>
          <w:ilvl w:val="0"/>
          <w:numId w:val="46"/>
        </w:numPr>
        <w:rPr/>
      </w:pPr>
      <w:r>
        <w:rPr/>
        <w:t xml:space="preserve">transazioni Prisma con isolamento </w:t>
      </w:r>
      <w:r>
        <w:rPr>
          <w:rStyle w:val="VerbatimChar"/>
        </w:rPr>
        <w:t>Serializable</w:t>
      </w:r>
      <w:r>
        <w:rPr/>
        <w:t xml:space="preserve"> per mantenere verifica e scrittura nella stessa unità atomica;</w:t>
      </w:r>
    </w:p>
    <w:p>
      <w:pPr>
        <w:pStyle w:val="Compact"/>
        <w:numPr>
          <w:ilvl w:val="0"/>
          <w:numId w:val="47"/>
        </w:numPr>
        <w:rPr/>
      </w:pPr>
      <w:r>
        <w:rPr/>
        <w:t>exclusion constraint PostgreSQL sull’intervallo delle prenotazioni attive, come ultima garanzia anche per scritture esterne all’applicazione.</w:t>
      </w:r>
    </w:p>
    <w:p>
      <w:pPr>
        <w:pStyle w:val="FirstParagraph"/>
        <w:rPr/>
      </w:pPr>
      <w:bookmarkStart w:id="21" w:name="atomicità-e-concorrenza"/>
      <w:r>
        <w:rPr/>
        <w:t>Le violazioni di vincolo e i conflitti serializzabili vengono tradotti in un errore di dominio gestito. Il chiamante può proporre l’ingresso in lista d’attesa senza esporre dettagli del database.</w:t>
      </w:r>
      <w:bookmarkEnd w:id="21"/>
    </w:p>
    <w:p>
      <w:pPr>
        <w:pStyle w:val="Heading2"/>
        <w:rPr/>
      </w:pPr>
      <w:bookmarkStart w:id="22" w:name="__RefHeading___Toc7572_3672760668"/>
      <w:bookmarkStart w:id="23" w:name="modello-della-lista-dattesa"/>
      <w:bookmarkEnd w:id="22"/>
      <w:r>
        <w:rPr/>
        <w:t>4.3 Modello della lista d’attesa</w:t>
      </w:r>
    </w:p>
    <w:p>
      <w:pPr>
        <w:pStyle w:val="FirstParagraph"/>
        <w:rPr/>
      </w:pPr>
      <w:r>
        <w:rPr>
          <w:rStyle w:val="VerbatimChar"/>
        </w:rPr>
        <w:t>ListaAttesa</w:t>
      </w:r>
      <w:r>
        <w:rPr/>
        <w:t xml:space="preserve"> collega utente, posto, data e intervallo e usa gli stati </w:t>
      </w:r>
      <w:r>
        <w:rPr>
          <w:rStyle w:val="VerbatimChar"/>
        </w:rPr>
        <w:t>IN_ATTESA</w:t>
      </w:r>
      <w:r>
        <w:rPr/>
        <w:t xml:space="preserve">, </w:t>
      </w:r>
      <w:r>
        <w:rPr>
          <w:rStyle w:val="VerbatimChar"/>
        </w:rPr>
        <w:t>PROMOSSA</w:t>
      </w:r>
      <w:r>
        <w:rPr/>
        <w:t xml:space="preserve">, </w:t>
      </w:r>
      <w:r>
        <w:rPr>
          <w:rStyle w:val="VerbatimChar"/>
        </w:rPr>
        <w:t>SCADUTA</w:t>
      </w:r>
      <w:r>
        <w:rPr/>
        <w:t xml:space="preserve"> e </w:t>
      </w:r>
      <w:r>
        <w:rPr>
          <w:rStyle w:val="VerbatimChar"/>
        </w:rPr>
        <w:t>ANNULLATA</w:t>
      </w:r>
      <w:r>
        <w:rPr/>
        <w:t xml:space="preserve">. L’ordine è deterministico: prima </w:t>
      </w:r>
      <w:r>
        <w:rPr>
          <w:rStyle w:val="VerbatimChar"/>
        </w:rPr>
        <w:t>createdAt</w:t>
      </w:r>
      <w:r>
        <w:rPr/>
        <w:t xml:space="preserve">, poi </w:t>
      </w:r>
      <w:r>
        <w:rPr>
          <w:rStyle w:val="VerbatimChar"/>
        </w:rPr>
        <w:t>id</w:t>
      </w:r>
      <w:r>
        <w:rPr/>
        <w:t xml:space="preserve"> come criterio di spareggio. Il vincolo sui record attivi impedisce allo stesso utente di accodarsi due volte per lo stesso intervallo senza impedire la conservazione dello storico terminale.</w:t>
      </w:r>
    </w:p>
    <w:p>
      <w:pPr>
        <w:pStyle w:val="BodyText"/>
        <w:rPr/>
      </w:pPr>
      <w:bookmarkStart w:id="24" w:name="modello-della-lista-dattesa"/>
      <w:r>
        <w:rPr/>
        <w:t>La promozione seleziona il primo eleggibile, crea la prenotazione e aggiorna la richiesta nella stessa operazione transazionale. Chiamate ripetute non producono una seconda prenotazione.</w:t>
      </w:r>
      <w:bookmarkEnd w:id="24"/>
    </w:p>
    <w:p>
      <w:pPr>
        <w:pStyle w:val="Heading2"/>
        <w:rPr/>
      </w:pPr>
      <w:bookmarkStart w:id="25" w:name="__RefHeading___Toc7574_3672760668"/>
      <w:bookmarkStart w:id="26" w:name="identità-ruoli-e-ownership"/>
      <w:bookmarkEnd w:id="25"/>
      <w:r>
        <w:rPr/>
        <w:t>4.4 Identità, ruoli e ownership</w:t>
      </w:r>
    </w:p>
    <w:p>
      <w:pPr>
        <w:pStyle w:val="FirstParagraph"/>
        <w:rPr/>
      </w:pPr>
      <w:r>
        <w:rPr/>
        <w:t>L’identità operativa deriva sempre dalla sessione. Il client può indicare una risorsa, ma non scegliere l’attore. Gli helper comuni distinguono:</w:t>
      </w:r>
    </w:p>
    <w:p>
      <w:pPr>
        <w:pStyle w:val="Compact"/>
        <w:numPr>
          <w:ilvl w:val="0"/>
          <w:numId w:val="48"/>
        </w:numPr>
        <w:rPr/>
      </w:pPr>
      <w:r>
        <w:rPr>
          <w:rStyle w:val="VerbatimChar"/>
        </w:rPr>
        <w:t>401</w:t>
      </w:r>
      <w:r>
        <w:rPr/>
        <w:t xml:space="preserve"> quando manca una sessione valida;</w:t>
      </w:r>
    </w:p>
    <w:p>
      <w:pPr>
        <w:pStyle w:val="Compact"/>
        <w:numPr>
          <w:ilvl w:val="0"/>
          <w:numId w:val="49"/>
        </w:numPr>
        <w:rPr/>
      </w:pPr>
      <w:r>
        <w:rPr>
          <w:rStyle w:val="VerbatimChar"/>
        </w:rPr>
        <w:t>403</w:t>
      </w:r>
      <w:r>
        <w:rPr/>
        <w:t xml:space="preserve"> quando il ruolo non permette l’operazione;</w:t>
      </w:r>
    </w:p>
    <w:p>
      <w:pPr>
        <w:pStyle w:val="Compact"/>
        <w:numPr>
          <w:ilvl w:val="0"/>
          <w:numId w:val="50"/>
        </w:numPr>
        <w:rPr/>
      </w:pPr>
      <w:r>
        <w:rPr>
          <w:rStyle w:val="VerbatimChar"/>
        </w:rPr>
        <w:t>403</w:t>
      </w:r>
      <w:r>
        <w:rPr/>
        <w:t xml:space="preserve"> o </w:t>
      </w:r>
      <w:r>
        <w:rPr>
          <w:rStyle w:val="VerbatimChar"/>
        </w:rPr>
        <w:t>404</w:t>
      </w:r>
      <w:r>
        <w:rPr/>
        <w:t xml:space="preserve"> per una risorsa altrui secondo la policy documentata.</w:t>
      </w:r>
    </w:p>
    <w:p>
      <w:pPr>
        <w:pStyle w:val="FirstParagraph"/>
        <w:rPr/>
      </w:pPr>
      <w:bookmarkStart w:id="27" w:name="identità-ruoli-e-ownership"/>
      <w:r>
        <w:rPr/>
        <w:t>La configurazione NextAuth esistente non è stata riscritta: gli helper sono stati aggiunti sopra il contratto corrente e riusati dalle route.</w:t>
      </w:r>
      <w:bookmarkEnd w:id="27"/>
    </w:p>
    <w:p>
      <w:pPr>
        <w:pStyle w:val="Heading2"/>
        <w:rPr/>
      </w:pPr>
      <w:bookmarkStart w:id="28" w:name="__RefHeading___Toc7576_3672760668"/>
      <w:bookmarkStart w:id="29" w:name="log-notifiche-e-aggiornamento-client"/>
      <w:bookmarkEnd w:id="28"/>
      <w:r>
        <w:rPr/>
        <w:t>4.5 Log, notifiche e aggiornamento client</w:t>
      </w:r>
    </w:p>
    <w:p>
      <w:pPr>
        <w:pStyle w:val="FirstParagraph"/>
        <w:rPr/>
      </w:pPr>
      <w:r>
        <w:rPr/>
        <w:t>Le transizioni di coda usano tipi espliciti (</w:t>
      </w:r>
      <w:r>
        <w:rPr>
          <w:rStyle w:val="VerbatimChar"/>
        </w:rPr>
        <w:t>CODA_INGRESSO</w:t>
      </w:r>
      <w:r>
        <w:rPr/>
        <w:t xml:space="preserve">, </w:t>
      </w:r>
      <w:r>
        <w:rPr>
          <w:rStyle w:val="VerbatimChar"/>
        </w:rPr>
        <w:t>CODA_PROMOZIONE</w:t>
      </w:r>
      <w:r>
        <w:rPr/>
        <w:t xml:space="preserve">, </w:t>
      </w:r>
      <w:r>
        <w:rPr>
          <w:rStyle w:val="VerbatimChar"/>
        </w:rPr>
        <w:t>CODA_SCADENZA</w:t>
      </w:r>
      <w:r>
        <w:rPr/>
        <w:t xml:space="preserve">, </w:t>
      </w:r>
      <w:r>
        <w:rPr>
          <w:rStyle w:val="VerbatimChar"/>
        </w:rPr>
        <w:t>CODA_ANNULLATA</w:t>
      </w:r>
      <w:r>
        <w:rPr/>
        <w:t>). Log e notifiche conservano i riferimenti a utente, posto, richiesta e prenotazione. La UI legge le notifiche dal database e aggiorna il badge periodicamente; la disponibilità viene richiesta al server per data e fascia. Il cron registra cosa ha processato e usa protezioni idempotenti, così una seconda esecuzione ravvicinata non cambia lo stato prodotto dalla prima.</w:t>
      </w:r>
      <w:bookmarkEnd w:id="29"/>
    </w:p>
    <w:p>
      <w:pPr>
        <w:pStyle w:val="Heading2"/>
        <w:rPr/>
      </w:pPr>
      <w:bookmarkStart w:id="30" w:name="__RefHeading___Toc7578_3672760668"/>
      <w:bookmarkStart w:id="31" w:name="diagrammi"/>
      <w:bookmarkEnd w:id="30"/>
      <w:r>
        <w:rPr/>
        <w:t>4.6 Diagrammi</w:t>
      </w:r>
    </w:p>
    <w:p>
      <w:pPr>
        <w:pStyle w:val="FirstParagraph"/>
        <w:rPr/>
      </w:pPr>
      <w:r>
        <w:rPr/>
        <w:t xml:space="preserve">La fotografia AS-IS è disponibile nei documenti indicati nella sezione 3.2. I diagrammi TO-BE e il confronto affiancato sono stati prodotti dalla task correlata </w:t>
      </w:r>
      <w:hyperlink r:id="rId3">
        <w:r>
          <w:rPr>
            <w:rStyle w:val="Hyperlink"/>
          </w:rPr>
          <w:t>BIB-64, PR #49</w:t>
        </w:r>
      </w:hyperlink>
      <w:r>
        <w:rPr/>
        <w:t xml:space="preserve">, integrata in </w:t>
      </w:r>
      <w:r>
        <w:rPr>
          <w:rStyle w:val="VerbatimChar"/>
        </w:rPr>
        <w:t>main</w:t>
      </w:r>
      <w:r>
        <w:rPr/>
        <w:t>:</w:t>
      </w:r>
    </w:p>
    <w:p>
      <w:pPr>
        <w:pStyle w:val="Compact"/>
        <w:numPr>
          <w:ilvl w:val="0"/>
          <w:numId w:val="51"/>
        </w:numPr>
        <w:rPr/>
      </w:pPr>
      <w:r>
        <w:rPr/>
        <w:t>diagramma dei componenti TO-BE, con servizio di dominio e lista d’attesa;</w:t>
      </w:r>
    </w:p>
    <w:p>
      <w:pPr>
        <w:pStyle w:val="Compact"/>
        <w:numPr>
          <w:ilvl w:val="0"/>
          <w:numId w:val="52"/>
        </w:numPr>
        <w:rPr/>
      </w:pPr>
      <w:r>
        <w:rPr/>
        <w:t xml:space="preserve">diagramma delle transizioni TO-BE di </w:t>
      </w:r>
      <w:r>
        <w:rPr>
          <w:rStyle w:val="VerbatimChar"/>
        </w:rPr>
        <w:t>Prenotazione</w:t>
      </w:r>
      <w:r>
        <w:rPr/>
        <w:t xml:space="preserve"> e </w:t>
      </w:r>
      <w:r>
        <w:rPr>
          <w:rStyle w:val="VerbatimChar"/>
        </w:rPr>
        <w:t>ListaAttesa</w:t>
      </w:r>
      <w:r>
        <w:rPr/>
        <w:t>;</w:t>
      </w:r>
    </w:p>
    <w:p>
      <w:pPr>
        <w:pStyle w:val="Compact"/>
        <w:numPr>
          <w:ilvl w:val="0"/>
          <w:numId w:val="53"/>
        </w:numPr>
        <w:rPr/>
      </w:pPr>
      <w:r>
        <w:rPr/>
        <w:t>confronto AS-IS/TO-BE e sintesi dei ripple effect.</w:t>
      </w:r>
    </w:p>
    <w:p>
      <w:pPr>
        <w:pStyle w:val="FirstParagraph"/>
        <w:rPr/>
      </w:pPr>
      <w:bookmarkStart w:id="32" w:name="progettazione-to-be"/>
      <w:bookmarkStart w:id="33" w:name="diagrammi"/>
      <w:r>
        <w:rPr/>
        <w:t>Nella versione impaginata del report (PDF e Word) i diagrammi TO-BE e il confronto sono riprodotti integralmente nell’Appendice B, accanto a quelli AS-IS dell’Appendice A, così che l’impact analysis sia leggibile senza aprire il repository.</w:t>
      </w:r>
      <w:bookmarkEnd w:id="32"/>
      <w:bookmarkEnd w:id="33"/>
    </w:p>
    <w:p>
      <w:pPr>
        <w:pStyle w:val="Heading1"/>
        <w:rPr/>
      </w:pPr>
      <w:bookmarkStart w:id="34" w:name="__RefHeading___Toc7580_3672760668"/>
      <w:bookmarkStart w:id="35" w:name="realizzazione-incrementale"/>
      <w:bookmarkEnd w:id="34"/>
      <w:r>
        <w:rPr/>
        <w:t>5. Realizzazione incrementale</w:t>
      </w:r>
    </w:p>
    <w:p>
      <w:pPr>
        <w:pStyle w:val="Heading2"/>
        <w:rPr/>
      </w:pPr>
      <w:bookmarkStart w:id="36" w:name="__RefHeading___Toc7582_3672760668"/>
      <w:bookmarkEnd w:id="36"/>
      <w:r>
        <w:rPr/>
        <w:t>5.1 Sequenza degli incrementi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37"/>
        <w:gridCol w:w="3137"/>
        <w:gridCol w:w="3138"/>
      </w:tblGrid>
      <w:tr>
        <w:trPr>
          <w:tblHeader w:val="true"/>
        </w:trPr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Fase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Incremento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Dipendenza soddisfatta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0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Regole Git, framework di test e pipeline CI.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Processo riproducibile prima delle modifiche.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1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Analisi AS-IS e test pre-modifica.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Baseline osservabile e difetti caratterizzati.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2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Schema, vincoli, autenticazione e servizio di dominio.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Fondamenta condivise per tutte le route.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3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API di prenotazione sicure e atomiche.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Esposizione HTTP del dominio senza identità client autorevole.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Automazioni, notifiche e tracciabilità.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Promozione su no-show/scadenza e audit persistente.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5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Amministrazione, middleware, UI e statistiche.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Chiusura dei ripple effect verso operatori e utenti.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6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Specifica post-modifica, esecuzione e regressione.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Verifica esplicita di CA-01–CA-06.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7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Diagrammi TO-BE e report finale.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Consolidamento dei deliverable del corso.</w:t>
            </w:r>
            <w:bookmarkStart w:id="37" w:name="sequenza-degli-incrementi"/>
            <w:bookmarkEnd w:id="37"/>
          </w:p>
        </w:tc>
      </w:tr>
    </w:tbl>
    <w:p>
      <w:pPr>
        <w:pStyle w:val="Heading2"/>
        <w:rPr/>
      </w:pPr>
      <w:bookmarkStart w:id="38" w:name="__RefHeading___Toc7584_3672760668"/>
      <w:bookmarkEnd w:id="38"/>
      <w:r>
        <w:rPr/>
        <w:t>5.2 Migrazioni dati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705"/>
        <w:gridCol w:w="4706"/>
      </w:tblGrid>
      <w:tr>
        <w:trPr>
          <w:tblHeader w:val="true"/>
        </w:trPr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Migrazione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Scopo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20260102185756_migration1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Schema iniziale della baseline (precedente alla CR).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20260105115616_add_automation_types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Tipi di automazione della baseline (precedente alla CR).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20260829102939_lista_attesa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Introduce entità, stato e indici della lista d’attesa.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20260829131500_vincolo_anti_sovrapposizione_prenotazioni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Impone la non sovrapposizione delle prenotazioni attive a livello PostgreSQL.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20260829133500_estensione_enum_coda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Estende, senza rinominare o rimuovere, gli enum di notifiche ed eventi.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20260902113000_enable_rls_public_tables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Abilita RLS sulle tabelle pubbliche come hardening della persistenza.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20260902133000_test_pipeline_migrate_prod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Smoke test della pipeline di deploy delle migrazioni (solo commento SQL).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20260924120000_allinea_schema_richieste_preparazione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Aggiunge allo storico oggetti presenti nello schema ma mai migrati: enum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StatoRichiesta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preferenze di accessibilità di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User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tabella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RichiestaPreparazione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</w:tr>
    </w:tbl>
    <w:p>
      <w:pPr>
        <w:pStyle w:val="BodyText"/>
        <w:rPr/>
      </w:pPr>
      <w:r>
        <w:rPr/>
        <w:t xml:space="preserve">Le migrazioni sono versionate e la pipeline di deploy usa Prisma in modo separato dalla build applicativa. I dati storici con stati terminali restano compatibili con i nuovi vincoli. Nella verifica del 13 ottobre 2026 le otto migrazioni, applicate a un PostgreSQL 16 vuoto, ricostruiscono uno schema già identico a </w:t>
      </w:r>
      <w:r>
        <w:rPr>
          <w:rStyle w:val="VerbatimChar"/>
        </w:rPr>
        <w:t>prisma/schema.prisma</w:t>
      </w:r>
      <w:r>
        <w:rPr/>
        <w:t xml:space="preserve"> (</w:t>
      </w:r>
      <w:r>
        <w:rPr>
          <w:rStyle w:val="VerbatimChar"/>
        </w:rPr>
        <w:t>prisma db push</w:t>
      </w:r>
      <w:r>
        <w:rPr/>
        <w:t xml:space="preserve"> non rileva differenze).</w:t>
      </w:r>
    </w:p>
    <w:p>
      <w:pPr>
        <w:pStyle w:val="Heading2"/>
        <w:rPr/>
      </w:pPr>
      <w:bookmarkStart w:id="39" w:name="__RefHeading___Toc7586_3672760668"/>
      <w:bookmarkStart w:id="40" w:name="cronologia-git-sintetica"/>
      <w:bookmarkEnd w:id="39"/>
      <w:r>
        <w:rPr/>
        <w:t>5.3 Cronologia Git sintetica</w:t>
      </w:r>
    </w:p>
    <w:p>
      <w:pPr>
        <w:pStyle w:val="FirstParagraph"/>
        <w:rPr/>
      </w:pPr>
      <w:r>
        <w:rPr/>
        <w:t>La cronologia completa resta in Git; qui sono riportati gli incrementi che ricostruiscono il percorso della CR: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705"/>
        <w:gridCol w:w="4706"/>
      </w:tblGrid>
      <w:tr>
        <w:trPr>
          <w:tblHeader w:val="true"/>
        </w:trPr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 xml:space="preserve">Commit su </w:t>
            </w:r>
            <w:r>
              <w:rPr>
                <w:rStyle w:val="VerbatimChar"/>
                <w:b/>
                <w:kern w:val="0"/>
                <w:sz w:val="17"/>
                <w:szCs w:val="24"/>
                <w:lang w:val="it-IT" w:eastAsia="en-US" w:bidi="ar-SA"/>
              </w:rPr>
              <w:t>main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Incremento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8173151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c9695e5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Convenzioni di lavoro e CI.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7469969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92ee17d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ff50938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026eb5d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4de697b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6f59dc4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Setup test, analisi e prove pre-modifica.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b0e6138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Fase 2 — dati e dominio, BIB-23–BIB-31.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068e1be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Fase 3 — API prenotazione sicure, BIB-32–BIB-39.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01237b7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Fase 4 — automazioni, notifiche e realtime, BIB-40–BIB-48.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cb4b95c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ae26680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1c31817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9592aad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adc5e30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Fase 5 — middleware, amministrazione, UI e statistiche.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071d28a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bba0882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f4e8d82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e88977f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Fase 6 — specifica, report post-modifica, regressione e verifica finale.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daa090a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Chiusura dei varchi CA-01 emersi durante la verifica finale.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76ecb1e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Hardening successivo all’audit API, dichiarato fuori dal perimetro funzionale CR-BF-01.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59a0d54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Rimozione della catena SSE mai collegata e correzioni finali su disponibilità e rate limiter.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 #82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Collegamento dei rate limiter alle route critiche residue.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 #83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Chiusura automatica dei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CHECK_IN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scaduti e disponibilità per fascia.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candidata 2026-10-13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Aggiornamento dipendenze di sicurezza, copertura delle restanti scritture, guardie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MANUTENZIONE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, documentazione e pacchetto.</w:t>
            </w:r>
          </w:p>
        </w:tc>
      </w:tr>
    </w:tbl>
    <w:p>
      <w:pPr>
        <w:pStyle w:val="BodyText"/>
        <w:rPr/>
      </w:pPr>
      <w:bookmarkStart w:id="41" w:name="realizzazione-incrementale"/>
      <w:bookmarkStart w:id="42" w:name="cronologia-git-sintetica"/>
      <w:r>
        <w:rPr/>
        <w:t>Gli interventi di dipendenze, RLS e distribuzione delle migrazioni sono rimasti in commit separati per non confondere l’evoluzione funzionale con hardening e infrastruttura.</w:t>
      </w:r>
      <w:bookmarkEnd w:id="41"/>
      <w:bookmarkEnd w:id="42"/>
    </w:p>
    <w:p>
      <w:pPr>
        <w:pStyle w:val="Heading1"/>
        <w:rPr/>
      </w:pPr>
      <w:bookmarkStart w:id="43" w:name="__RefHeading___Toc7588_3672760668"/>
      <w:bookmarkStart w:id="44" w:name="criteri-di-accettazione-ed-evidenze"/>
      <w:bookmarkEnd w:id="43"/>
      <w:r>
        <w:rPr/>
        <w:t>6. Criteri di accettazione ed evidenze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66"/>
        <w:gridCol w:w="4279"/>
        <w:gridCol w:w="2567"/>
      </w:tblGrid>
      <w:tr>
        <w:trPr>
          <w:tblHeader w:val="true"/>
        </w:trPr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Criterio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Risultato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Evidenza principale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 — Accesso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Helper di sessione/ownership, suite auth e 36/36 casi admin dopo BIB-68.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CA-02 — Concorrenza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Vincolo DB, transazioni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Serializable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test concorrenti PostgreSQL ripetuti.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CA-03 — Lista d’attesa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Unicità attiva, FIFO deterministico e flussi UI mappa/mobile.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CA-04 — Riassegnazione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Promozione su cancellazione/no-show/scadenza, lock e idempotenza.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CA-05 — Tracciabilità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Log, notifiche persistenti e correlazione delle transizioni di coda.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CA-06 — Regressione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20/20 casi invariati con esito identico alla baseline.</w:t>
            </w:r>
          </w:p>
        </w:tc>
      </w:tr>
    </w:tbl>
    <w:p>
      <w:pPr>
        <w:pStyle w:val="BodyText"/>
        <w:rPr/>
      </w:pPr>
      <w:bookmarkStart w:id="45" w:name="criteri-di-accettazione-ed-evidenze"/>
      <w:r>
        <w:rPr/>
        <w:t>La decisione e le prove dettagliate sono in verifica finale dei criteri. Il documento conserva anche l’anomalia rilevata nella prima verifica di CA-01 e la successiva correzione, senza riscrivere retroattivamente l’evidenza.</w:t>
      </w:r>
      <w:bookmarkEnd w:id="45"/>
    </w:p>
    <w:p>
      <w:pPr>
        <w:pStyle w:val="Heading1"/>
        <w:rPr/>
      </w:pPr>
      <w:bookmarkStart w:id="46" w:name="__RefHeading___Toc7590_3672760668"/>
      <w:bookmarkStart w:id="47" w:name="strategia-ed-esiti-di-test"/>
      <w:bookmarkEnd w:id="46"/>
      <w:r>
        <w:rPr/>
        <w:t>7. Strategia ed esiti di test</w:t>
      </w:r>
    </w:p>
    <w:p>
      <w:pPr>
        <w:pStyle w:val="Heading2"/>
        <w:rPr/>
      </w:pPr>
      <w:bookmarkStart w:id="48" w:name="__RefHeading___Toc7592_3672760668"/>
      <w:bookmarkEnd w:id="48"/>
      <w:r>
        <w:rPr/>
        <w:t>7.1 Deliverable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705"/>
        <w:gridCol w:w="4706"/>
      </w:tblGrid>
      <w:tr>
        <w:trPr>
          <w:tblHeader w:val="true"/>
        </w:trPr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Documento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Ruolo nel processo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Specifica pre-modifica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Definisce gli scenari originali e gli ID stabili.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Report pre-modifica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Registra l’esecuzione sulla baseline.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Specifica post-modifica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Classifica casi aggiunti, modificati, invariati ed eliminati.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Report parti modificate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Verifica funzionalità nuove e cambiate.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Report regressione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Confronta i 20 casi invariati con la baseline.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Verifica finale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Decide CA-01–CA-06 sulla versione integrata.</w:t>
            </w:r>
            <w:bookmarkStart w:id="49" w:name="deliverable"/>
            <w:bookmarkEnd w:id="49"/>
          </w:p>
        </w:tc>
      </w:tr>
    </w:tbl>
    <w:p>
      <w:pPr>
        <w:pStyle w:val="Heading2"/>
        <w:rPr/>
      </w:pPr>
      <w:bookmarkStart w:id="50" w:name="__RefHeading___Toc7594_3672760668"/>
      <w:bookmarkEnd w:id="50"/>
      <w:r>
        <w:rPr/>
        <w:t>7.2 Risultati consolidati</w:t>
      </w:r>
    </w:p>
    <w:p>
      <w:pPr>
        <w:pStyle w:val="Compact"/>
        <w:numPr>
          <w:ilvl w:val="0"/>
          <w:numId w:val="54"/>
        </w:numPr>
        <w:rPr/>
      </w:pPr>
      <w:r>
        <w:rPr/>
        <w:t>La specifica post-modifica registra 181 casi aggiunti, 14 modificati, 20 invariati e nessun caso eliminato alla prima esecuzione di Fase 6.</w:t>
      </w:r>
    </w:p>
    <w:p>
      <w:pPr>
        <w:pStyle w:val="Compact"/>
        <w:numPr>
          <w:ilvl w:val="0"/>
          <w:numId w:val="55"/>
        </w:numPr>
        <w:rPr/>
      </w:pPr>
      <w:r>
        <w:rPr/>
        <w:t>Il report delle parti modificate ha prodotto 179 pass e 2 target di sicurezza inizialmente attesi come fallimenti.</w:t>
      </w:r>
    </w:p>
    <w:p>
      <w:pPr>
        <w:pStyle w:val="Compact"/>
        <w:numPr>
          <w:ilvl w:val="0"/>
          <w:numId w:val="56"/>
        </w:numPr>
        <w:rPr/>
      </w:pPr>
      <w:r>
        <w:rPr/>
        <w:t xml:space="preserve">La candidata 2026-10-13 supera </w:t>
      </w:r>
      <w:r>
        <w:rPr>
          <w:b/>
          <w:bCs/>
        </w:rPr>
        <w:t>758/758 test</w:t>
      </w:r>
      <w:r>
        <w:rPr/>
        <w:t xml:space="preserve"> in 102 file, inclusi i casi PostgreSQL, oltre a lint, typecheck e build di produzione.</w:t>
      </w:r>
    </w:p>
    <w:p>
      <w:pPr>
        <w:pStyle w:val="Compact"/>
        <w:numPr>
          <w:ilvl w:val="0"/>
          <w:numId w:val="57"/>
        </w:numPr>
        <w:rPr/>
      </w:pPr>
      <w:r>
        <w:rPr/>
        <w:t xml:space="preserve">Il report di regressione ha prodotto </w:t>
      </w:r>
      <w:r>
        <w:rPr>
          <w:b/>
          <w:bCs/>
        </w:rPr>
        <w:t>20/20 PASS</w:t>
      </w:r>
      <w:r>
        <w:rPr/>
        <w:t>, senza differenze rispetto alla baseline per i casi invariati.</w:t>
      </w:r>
    </w:p>
    <w:p>
      <w:pPr>
        <w:pStyle w:val="Compact"/>
        <w:numPr>
          <w:ilvl w:val="0"/>
          <w:numId w:val="58"/>
        </w:numPr>
        <w:rPr/>
      </w:pPr>
      <w:r>
        <w:rPr/>
        <w:t xml:space="preserve">La verifica focalizzata di concorrenza ha ripetuto cinque volte i due scenari PostgreSQL, per un totale di </w:t>
      </w:r>
      <w:r>
        <w:rPr>
          <w:b/>
          <w:bCs/>
        </w:rPr>
        <w:t>10/10 PASS</w:t>
      </w:r>
      <w:r>
        <w:rPr/>
        <w:t>.</w:t>
      </w:r>
    </w:p>
    <w:p>
      <w:pPr>
        <w:pStyle w:val="Compact"/>
        <w:numPr>
          <w:ilvl w:val="0"/>
          <w:numId w:val="59"/>
        </w:numPr>
        <w:rPr/>
      </w:pPr>
      <w:r>
        <w:rPr/>
        <w:t xml:space="preserve">L’insieme focalizzato su CA-03, CA-04 e CA-05 ha prodotto </w:t>
      </w:r>
      <w:r>
        <w:rPr>
          <w:b/>
          <w:bCs/>
        </w:rPr>
        <w:t>113/113 PASS</w:t>
      </w:r>
      <w:r>
        <w:rPr/>
        <w:t>.</w:t>
      </w:r>
    </w:p>
    <w:p>
      <w:pPr>
        <w:pStyle w:val="FirstParagraph"/>
        <w:rPr/>
      </w:pPr>
      <w:r>
        <w:rPr/>
        <w:t xml:space="preserve">Le differenze su intervalli invertiti, ricomposizione </w:t>
      </w:r>
      <w:r>
        <w:rPr>
          <w:rStyle w:val="VerbatimChar"/>
        </w:rPr>
        <w:t>Date</w:t>
      </w:r>
      <w:r>
        <w:rPr/>
        <w:t>/</w:t>
      </w:r>
      <w:r>
        <w:rPr>
          <w:rStyle w:val="VerbatimChar"/>
        </w:rPr>
        <w:t>Time</w:t>
      </w:r>
      <w:r>
        <w:rPr/>
        <w:t>, check-in e payload utente sono correzioni volute e risultano classificate come casi modificati, non come regressioni.</w:t>
      </w:r>
      <w:bookmarkEnd w:id="47"/>
    </w:p>
    <w:p>
      <w:pPr>
        <w:pStyle w:val="Heading1"/>
        <w:rPr/>
      </w:pPr>
      <w:bookmarkStart w:id="51" w:name="__RefHeading___Toc7596_3672760668"/>
      <w:bookmarkStart w:id="52" w:name="anomalie-e-limiti-osservati"/>
      <w:bookmarkEnd w:id="51"/>
      <w:r>
        <w:rPr/>
        <w:t>8. Anomalie e limiti osservati</w:t>
      </w:r>
    </w:p>
    <w:p>
      <w:pPr>
        <w:pStyle w:val="Compact"/>
        <w:numPr>
          <w:ilvl w:val="0"/>
          <w:numId w:val="60"/>
        </w:numPr>
        <w:rPr/>
      </w:pPr>
      <w:r>
        <w:rPr/>
        <w:t>La prima verifica finale aveva rilevato tre varchi amministrativi relativi a 401/403. Sono stati documentati prima della correzione e chiusi da BIB-68.</w:t>
      </w:r>
    </w:p>
    <w:p>
      <w:pPr>
        <w:pStyle w:val="Compact"/>
        <w:numPr>
          <w:ilvl w:val="0"/>
          <w:numId w:val="61"/>
        </w:numPr>
        <w:rPr/>
      </w:pPr>
      <w:r>
        <w:rPr/>
        <w:t>Una singola esecuzione esplorativa della suite ha mostrato un errore non riproducibile dopo ricreazione del database; dieci esecuzioni complete consecutive e cinque esecuzioni della concorrenza sono risultate verdi.</w:t>
      </w:r>
    </w:p>
    <w:p>
      <w:pPr>
        <w:pStyle w:val="Compact"/>
        <w:numPr>
          <w:ilvl w:val="0"/>
          <w:numId w:val="62"/>
        </w:numPr>
        <w:rPr/>
      </w:pPr>
      <w:r>
        <w:rPr/>
        <w:t>La baseline PWA dichiarava due screenshot assenti e proteggeva alcuni asset prima del login. Il confronto Git dimostra che si tratta di limiti storici, non di regressioni della CR.</w:t>
      </w:r>
    </w:p>
    <w:p>
      <w:pPr>
        <w:pStyle w:val="Compact"/>
        <w:numPr>
          <w:ilvl w:val="0"/>
          <w:numId w:val="63"/>
        </w:numPr>
        <w:rPr/>
      </w:pPr>
      <w:r>
        <w:rPr/>
        <w:t>I test di caratterizzazione pre-modifica sono intenzionalmente separati dalla suite corrente: eseguirli indiscriminatamente sul codice TO-BE confonderebbe differenze volute e regressioni.</w:t>
      </w:r>
    </w:p>
    <w:p>
      <w:pPr>
        <w:pStyle w:val="Compact"/>
        <w:numPr>
          <w:ilvl w:val="0"/>
          <w:numId w:val="64"/>
        </w:numPr>
        <w:rPr/>
      </w:pPr>
      <w:r>
        <w:rPr/>
        <w:t xml:space="preserve">Il rate limiter è in memoria per singola istanza serverless: riduce gli abusi evidenti ma non è un limite globale. </w:t>
      </w:r>
      <w:r>
        <w:rPr>
          <w:rStyle w:val="VerbatimChar"/>
        </w:rPr>
        <w:t>REDIS_URL</w:t>
      </w:r>
      <w:r>
        <w:rPr/>
        <w:t xml:space="preserve"> resta predisposta per una futura implementazione distribuita.</w:t>
      </w:r>
    </w:p>
    <w:p>
      <w:pPr>
        <w:pStyle w:val="Compact"/>
        <w:numPr>
          <w:ilvl w:val="0"/>
          <w:numId w:val="65"/>
        </w:numPr>
        <w:rPr/>
      </w:pPr>
      <w:r>
        <w:rPr/>
        <w:t>L’audit di produzione (</w:t>
      </w:r>
      <w:r>
        <w:rPr>
          <w:rStyle w:val="VerbatimChar"/>
        </w:rPr>
        <w:t>npm audit --omit=dev</w:t>
      </w:r>
      <w:r>
        <w:rPr/>
        <w:t>) è pulito; rimane un advisory high nella sola catena ESLint (</w:t>
      </w:r>
      <w:r>
        <w:rPr>
          <w:rStyle w:val="VerbatimChar"/>
        </w:rPr>
        <w:t>fast-glob</w:t>
      </w:r>
      <w:r>
        <w:rPr/>
        <w:t>/</w:t>
      </w:r>
      <w:r>
        <w:rPr>
          <w:rStyle w:val="VerbatimChar"/>
        </w:rPr>
        <w:t>micromatch</w:t>
      </w:r>
      <w:r>
        <w:rPr/>
        <w:t>/</w:t>
      </w:r>
      <w:r>
        <w:rPr>
          <w:rStyle w:val="VerbatimChar"/>
        </w:rPr>
        <w:t>braces</w:t>
      </w:r>
      <w:r>
        <w:rPr/>
        <w:t>) senza fix compatibile pubblicato. Non entra nel bundle di produzione.</w:t>
      </w:r>
      <w:bookmarkEnd w:id="52"/>
    </w:p>
    <w:p>
      <w:pPr>
        <w:pStyle w:val="Heading1"/>
        <w:rPr/>
      </w:pPr>
      <w:bookmarkStart w:id="53" w:name="__RefHeading___Toc7598_3672760668"/>
      <w:bookmarkStart w:id="54" w:name="valutazione-finale"/>
      <w:bookmarkEnd w:id="53"/>
      <w:bookmarkEnd w:id="54"/>
      <w:r>
        <w:rPr/>
        <w:t>9. Valutazione finale</w:t>
      </w:r>
    </w:p>
    <w:p>
      <w:pPr>
        <w:pStyle w:val="FirstParagraph"/>
        <w:rPr/>
      </w:pPr>
      <w:r>
        <w:rPr/>
        <w:t>CR-BF-01 soddisfa i sei criteri di accettazione sulla versione verificata. La soluzione non affida la correttezza a un singolo livello: sessione e ownership proteggono l’accesso, il dominio centralizza le regole, le transazioni coordinano le scritture e il database garantisce l’assenza di sovrapposizioni anche nel caso limite. La lista d’attesa completa il flusso utente e i ripple effect sono coperti da automazioni, amministrazione, notifiche, UI e statistiche.</w:t>
      </w:r>
    </w:p>
    <w:p>
      <w:pPr>
        <w:pStyle w:val="BodyText"/>
        <w:rPr/>
      </w:pPr>
      <w:r>
        <w:rPr/>
        <w:t>Il processo lascia una catena di tracciabilità completa:</w:t>
      </w:r>
    </w:p>
    <w:p>
      <w:pPr>
        <w:pStyle w:val="SourceCode"/>
        <w:rPr/>
      </w:pPr>
      <w:r>
        <w:rPr>
          <w:rStyle w:val="VerbatimChar"/>
        </w:rPr>
        <w:t>change request</w:t>
      </w:r>
      <w:r>
        <w:rPr/>
        <w:br/>
      </w:r>
      <w:r>
        <w:rPr>
          <w:rStyle w:val="VerbatimChar"/>
        </w:rPr>
        <w:t xml:space="preserve">  -&gt; impact analysis AS-IS</w:t>
      </w:r>
      <w:r>
        <w:rPr/>
        <w:br/>
      </w:r>
      <w:r>
        <w:rPr>
          <w:rStyle w:val="VerbatimChar"/>
        </w:rPr>
        <w:t xml:space="preserve">  -&gt; test pre-modifica</w:t>
      </w:r>
      <w:r>
        <w:rPr/>
        <w:br/>
      </w:r>
      <w:r>
        <w:rPr>
          <w:rStyle w:val="VerbatimChar"/>
        </w:rPr>
        <w:t xml:space="preserve">  -&gt; incrementi di dati, dominio, API e consumatori indiretti</w:t>
      </w:r>
      <w:r>
        <w:rPr/>
        <w:br/>
      </w:r>
      <w:r>
        <w:rPr>
          <w:rStyle w:val="VerbatimChar"/>
        </w:rPr>
        <w:t xml:space="preserve">  -&gt; test post-modifica e regressione</w:t>
      </w:r>
      <w:r>
        <w:rPr/>
        <w:br/>
      </w:r>
      <w:r>
        <w:rPr>
          <w:rStyle w:val="VerbatimChar"/>
        </w:rPr>
        <w:t xml:space="preserve">  -&gt; criteri CA-01–CA-06</w:t>
      </w:r>
      <w:r>
        <w:rPr/>
        <w:br/>
      </w:r>
      <w:r>
        <w:rPr>
          <w:rStyle w:val="VerbatimChar"/>
        </w:rPr>
        <w:t xml:space="preserve">  -&gt; diagrammi e report TO-BE</w:t>
      </w:r>
    </w:p>
    <w:p>
      <w:pPr>
        <w:pStyle w:val="FirstParagraph"/>
        <w:rPr/>
      </w:pPr>
      <w:r>
        <w:rPr/>
        <w:t>Il report e i documenti collegati rendono verificabili sia il risultato tecnico sia il processo di manutenzione seguito per ottenerlo.</w:t>
      </w:r>
    </w:p>
    <w:p>
      <w:pPr>
        <w:pStyle w:val="Normal"/>
        <w:rPr/>
      </w:pPr>
      <w:r>
        <w:rPr/>
      </w:r>
      <w:bookmarkStart w:id="55" w:name="valutazione-finale"/>
      <w:bookmarkStart w:id="56" w:name="valutazione-finale"/>
      <w:bookmarkEnd w:id="56"/>
      <w:r>
        <w:br w:type="page"/>
      </w:r>
    </w:p>
    <w:p>
      <w:pPr>
        <w:pStyle w:val="Heading1"/>
        <w:spacing w:before="0" w:after="120"/>
        <w:rPr/>
      </w:pPr>
      <w:bookmarkStart w:id="57" w:name="__RefHeading___Toc7600_3672760668"/>
      <w:bookmarkStart w:id="58" w:name="X6b26a8375254fc4564533c6c3d12e0b5fffed05"/>
      <w:bookmarkEnd w:id="57"/>
      <w:bookmarkEnd w:id="58"/>
      <w:r>
        <w:rPr/>
        <w:t>Appendice A — Analisi AS-IS e impact analysis</w:t>
      </w:r>
    </w:p>
    <w:p>
      <w:pPr>
        <w:pStyle w:val="Heading2"/>
        <w:rPr/>
      </w:pPr>
      <w:bookmarkStart w:id="59" w:name="__RefHeading___Toc7602_3672760668"/>
      <w:bookmarkStart w:id="60" w:name="X345180dfa60e3e14b3fa4fce5fb6f823680a80f"/>
      <w:bookmarkEnd w:id="59"/>
      <w:r>
        <w:rPr/>
        <w:t>Componenti del sottosistema prenotazione — AS-IS</w:t>
      </w:r>
    </w:p>
    <w:p>
      <w:pPr>
        <w:pStyle w:val="Heading3"/>
        <w:rPr/>
      </w:pPr>
      <w:bookmarkStart w:id="61" w:name="scopo"/>
      <w:r>
        <w:rPr/>
        <w:t>Scopo</w:t>
      </w:r>
    </w:p>
    <w:p>
      <w:pPr>
        <w:pStyle w:val="FirstParagraph"/>
        <w:rPr/>
      </w:pPr>
      <w:r>
        <w:rPr/>
        <w:t xml:space="preserve">Questo documento descrive le dipendenze effettive del sottosistema prenotazione nella baseline precedente alla CR-BF-01. È stato ricavato manualmente dagli import, dalle chiamate HTTP e dagli accessi Prisma presenti nel codice al commit </w:t>
      </w:r>
      <w:r>
        <w:rPr>
          <w:rStyle w:val="VerbatimChar"/>
        </w:rPr>
        <w:t>7469969</w:t>
      </w:r>
      <w:r>
        <w:rPr/>
        <w:t xml:space="preserve"> di </w:t>
      </w:r>
      <w:r>
        <w:rPr>
          <w:rStyle w:val="VerbatimChar"/>
        </w:rPr>
        <w:t>main</w:t>
      </w:r>
      <w:r>
        <w:rPr/>
        <w:t>.</w:t>
      </w:r>
    </w:p>
    <w:p>
      <w:pPr>
        <w:pStyle w:val="Compact"/>
        <w:numPr>
          <w:ilvl w:val="0"/>
          <w:numId w:val="66"/>
        </w:numPr>
        <w:rPr/>
      </w:pPr>
      <w:r>
        <w:rPr/>
        <w:t xml:space="preserve">Task: </w:t>
      </w:r>
      <w:hyperlink r:id="rId4">
        <w:r>
          <w:rPr>
            <w:rStyle w:val="Hyperlink"/>
          </w:rPr>
          <w:t>BIB-16 — Diagramma dei componenti del sottosistema prenotazione (AS-IS)</w:t>
        </w:r>
      </w:hyperlink>
    </w:p>
    <w:p>
      <w:pPr>
        <w:pStyle w:val="Compact"/>
        <w:numPr>
          <w:ilvl w:val="0"/>
          <w:numId w:val="67"/>
        </w:numPr>
        <w:rPr/>
      </w:pPr>
      <w:r>
        <w:rPr/>
        <w:t>Responsabile operativo: Renato Mancino, subentrato a Mario Celzo</w:t>
      </w:r>
    </w:p>
    <w:p>
      <w:pPr>
        <w:pStyle w:val="Compact"/>
        <w:numPr>
          <w:ilvl w:val="0"/>
          <w:numId w:val="68"/>
        </w:numPr>
        <w:rPr/>
      </w:pPr>
      <w:r>
        <w:rPr/>
        <w:t xml:space="preserve">Baseline funzionale: tag </w:t>
      </w:r>
      <w:r>
        <w:rPr>
          <w:rStyle w:val="VerbatimChar"/>
        </w:rPr>
        <w:t>baseline-pre-cr-bf-01</w:t>
      </w:r>
    </w:p>
    <w:p>
      <w:pPr>
        <w:pStyle w:val="Compact"/>
        <w:numPr>
          <w:ilvl w:val="0"/>
          <w:numId w:val="69"/>
        </w:numPr>
        <w:rPr/>
      </w:pPr>
      <w:r>
        <w:rPr/>
        <w:t>Criteri di accettazione CR-BF-01: nessuno specifico; il documento alimenta l’impact analysis</w:t>
      </w:r>
    </w:p>
    <w:p>
      <w:pPr>
        <w:pStyle w:val="Compact"/>
        <w:numPr>
          <w:ilvl w:val="0"/>
          <w:numId w:val="70"/>
        </w:numPr>
        <w:rPr/>
      </w:pPr>
      <w:r>
        <w:rPr/>
        <w:t>Documento complementare: BIB-17 — diagramma delle transizioni di stato</w:t>
      </w:r>
    </w:p>
    <w:p>
      <w:pPr>
        <w:pStyle w:val="Compact"/>
        <w:numPr>
          <w:ilvl w:val="0"/>
          <w:numId w:val="71"/>
        </w:numPr>
        <w:rPr/>
      </w:pPr>
      <w:bookmarkStart w:id="62" w:name="scopo"/>
      <w:r>
        <w:rPr/>
        <w:t>Evidenza di regressione collegata: specifica dei test pre-modifica, integrata dalla task BIB-19</w:t>
      </w:r>
      <w:bookmarkEnd w:id="62"/>
    </w:p>
    <w:p>
      <w:pPr>
        <w:pStyle w:val="Heading3"/>
        <w:rPr/>
      </w:pPr>
      <w:r>
        <w:rPr/>
        <w:t>Relazione con l’analisi AS-IS esistente</w:t>
      </w:r>
    </w:p>
    <w:p>
      <w:pPr>
        <w:pStyle w:val="FirstParagraph"/>
        <w:rPr/>
      </w:pPr>
      <w:r>
        <w:rPr/>
        <w:t>Questo elaborato non sostituisce il diagramma BIB-17 già presente nel repository. I due documenti osservano la stessa baseline da prospettive diverse: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37"/>
        <w:gridCol w:w="3137"/>
        <w:gridCol w:w="3138"/>
      </w:tblGrid>
      <w:tr>
        <w:trPr>
          <w:tblHeader w:val="true"/>
        </w:trPr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Documento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Domanda a cui risponde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Contenuto riusato qui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BIB-17 —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prenotazione-stati-as-is.md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Quali stati e transizioni sono effettivamente raggiungibili?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Stati, attori e anomalie delle transizioni sono usati come riferimento, senza duplicarne il diagramma.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BIB-19 —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spec-pre-modifica.md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Quali comportamenti originali devono restare verificabili?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Automazioni, notifiche e SSE forniscono evidenze eseguibili per alcuni collegamenti descritti sotto.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BIB-16 — questo documento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Quali componenti partecipano al sottosistema e come dipendono tra loro?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Mappa UI → API → servizi → Prisma, con accessi R/W/D e punti di impatto della CR.</w:t>
            </w:r>
            <w:bookmarkStart w:id="63" w:name="relazione-con-lanalisi-as-is-esistente"/>
            <w:bookmarkEnd w:id="63"/>
          </w:p>
        </w:tc>
      </w:tr>
    </w:tbl>
    <w:p>
      <w:pPr>
        <w:pStyle w:val="Heading3"/>
        <w:rPr/>
      </w:pPr>
      <w:r>
        <w:rPr/>
        <w:t>Legenda degli accessi</w:t>
      </w:r>
    </w:p>
    <w:p>
      <w:pPr>
        <w:pStyle w:val="Compact"/>
        <w:numPr>
          <w:ilvl w:val="0"/>
          <w:numId w:val="72"/>
        </w:numPr>
        <w:rPr/>
      </w:pPr>
      <w:r>
        <w:rPr>
          <w:b/>
          <w:bCs/>
        </w:rPr>
        <w:t>R</w:t>
      </w:r>
      <w:r>
        <w:rPr/>
        <w:t xml:space="preserve">: lettura del modello </w:t>
      </w:r>
      <w:r>
        <w:rPr>
          <w:rStyle w:val="VerbatimChar"/>
        </w:rPr>
        <w:t>Prenotazione</w:t>
      </w:r>
      <w:r>
        <w:rPr/>
        <w:t>.</w:t>
      </w:r>
    </w:p>
    <w:p>
      <w:pPr>
        <w:pStyle w:val="Compact"/>
        <w:numPr>
          <w:ilvl w:val="0"/>
          <w:numId w:val="73"/>
        </w:numPr>
        <w:rPr/>
      </w:pPr>
      <w:r>
        <w:rPr>
          <w:b/>
          <w:bCs/>
        </w:rPr>
        <w:t>W</w:t>
      </w:r>
      <w:r>
        <w:rPr/>
        <w:t xml:space="preserve">: creazione o aggiornamento del modello </w:t>
      </w:r>
      <w:r>
        <w:rPr>
          <w:rStyle w:val="VerbatimChar"/>
        </w:rPr>
        <w:t>Prenotazione</w:t>
      </w:r>
      <w:r>
        <w:rPr/>
        <w:t>.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D</w:t>
      </w:r>
      <w:r>
        <w:rPr/>
        <w:t>: eliminazione fisica del record.</w:t>
      </w:r>
    </w:p>
    <w:p>
      <w:pPr>
        <w:pStyle w:val="Compact"/>
        <w:numPr>
          <w:ilvl w:val="0"/>
          <w:numId w:val="75"/>
        </w:numPr>
        <w:rPr/>
      </w:pPr>
      <w:r>
        <w:rPr/>
        <w:t xml:space="preserve">Le frecce rosse tratteggiate descrivono collegamenti </w:t>
      </w:r>
      <w:r>
        <w:rPr>
          <w:b/>
          <w:bCs/>
        </w:rPr>
        <w:t>assenti</w:t>
      </w:r>
      <w:r>
        <w:rPr/>
        <w:t xml:space="preserve"> nella baseline, non dipendenze attive.</w:t>
      </w:r>
    </w:p>
    <w:p>
      <w:pPr>
        <w:pStyle w:val="Compact"/>
        <w:numPr>
          <w:ilvl w:val="0"/>
          <w:numId w:val="76"/>
        </w:numPr>
        <w:rPr/>
      </w:pPr>
      <w:r>
        <w:rPr/>
        <w:t>I nodi rossi sono punti di impatto diretto della CR; quelli gialli sono ripple effect da adeguare o riverificare.</w:t>
      </w:r>
    </w:p>
    <w:p>
      <w:pPr>
        <w:pStyle w:val="Heading3"/>
        <w:rPr/>
      </w:pPr>
      <w:bookmarkStart w:id="64" w:name="diagramma-dei-componenti"/>
      <w:r>
        <w:rPr/>
        <w:t>Diagramma dei componenti</w:t>
      </w:r>
    </w:p>
    <w:p>
      <w:pPr>
        <w:pStyle w:val="FirstParagraph"/>
        <w:jc w:val="center"/>
        <w:rPr/>
      </w:pPr>
      <w:bookmarkStart w:id="65" w:name="diagramma-dei-componenti"/>
      <w:r>
        <w:rPr/>
        <w:drawing>
          <wp:inline distT="0" distB="0" distL="0" distR="0">
            <wp:extent cx="5760085" cy="4246245"/>
            <wp:effectExtent l="0" t="0" r="0" b="0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5"/>
    </w:p>
    <w:p>
      <w:pPr>
        <w:pStyle w:val="Heading3"/>
        <w:rPr/>
      </w:pPr>
      <w:r>
        <w:rPr/>
        <w:t xml:space="preserve">Accessi al modello </w:t>
      </w:r>
      <w:r>
        <w:rPr>
          <w:rStyle w:val="VerbatimChar"/>
        </w:rPr>
        <w:t>Prenotazione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72"/>
        <w:gridCol w:w="2896"/>
        <w:gridCol w:w="2171"/>
        <w:gridCol w:w="2172"/>
      </w:tblGrid>
      <w:tr>
        <w:trPr>
          <w:tblHeader w:val="true"/>
        </w:trPr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Componente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Accesso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Comportamento AS-IS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Effetto da considerare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src/app/api/prenotazioni/route.ts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R/W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Elenca, verifica sovrapposizioni e crea; riceve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userId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dal payload.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Punto diretto per identità da sessione, validazione centralizzata e atomicità.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src/app/api/prenotazioni/[id]/route.ts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R/W/D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Dettaglio, check-in/out, cancellazione ed eliminazione fisica.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Duplica transizioni e non applica sessione/ownership nella baseline.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src/app/api/prenotazioni/[id]/check-in/route.ts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R/W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Check-in autenticato con ownership e finestra temporale.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Va riallineato alle regole centralizzate e ai nuovi stati.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src/app/api/prenotazioni/[id]/estendi/route.ts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R/W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Calcola slot e conflitti con una logica propria, poi estende.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Ripple effect: può reintrodurre sovrapposizioni e divergenza di validazione.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src/app/api/admin/prenotazioni/route.ts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R/W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Annulla, modifica e forza check-in; aggiorna anche posto, log e notifica.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Ripple effect: la cancellazione staff dovrà attivare la promozione della coda.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src/app/api/admin/anomalie/route.ts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R/W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Individua e risolve prenotazioni senza check-in.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Ripple effect sul no-show e sulla promozione idempotente.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src/app/api/admin/scanner/validate/route.ts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R/W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Legge la prenotazione da QR e forza check-in.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Deve rifiutare stati non eleggibili, inclusa la futura attesa.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src/lib/automation-service.ts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R/W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Invia reminder; trasforma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CONFERMATA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in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NO_SHOW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libera il posto.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Ripple effect bloccante: il no-show dovrà promuovere il primo eleggibile.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src/app/api/admin/statistiche/route.ts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Aggrega stati e trend.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 nuovi stati/eventi non devono alterare metriche e classificazioni.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src/app/admin/prenotazioni/page.tsx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Il Server Component legge Prisma direttamente per costruire la lista.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Accoppiamento UI-persistenza da riverificare dopo schema e stati nuovi.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src/app/admin/page.tsx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src/app/admin/anomalie/page.tsx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Conteggi e liste per dashboard/anomalie.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Nuovi stati possono cambiare conteggi, filtri e segnalazioni.</w:t>
            </w:r>
          </w:p>
        </w:tc>
      </w:tr>
      <w:tr>
        <w:trPr/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src/app/api/disponibilita-giorni/route.ts</w:t>
            </w:r>
          </w:p>
        </w:tc>
        <w:tc>
          <w:tcPr>
            <w:tcW w:w="289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righ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</w:t>
            </w:r>
          </w:p>
        </w:tc>
        <w:tc>
          <w:tcPr>
            <w:tcW w:w="217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Conta prenotazioni attive per giorno.</w:t>
            </w:r>
          </w:p>
        </w:tc>
        <w:tc>
          <w:tcPr>
            <w:tcW w:w="217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La disponibilità futura dovrà distinguere confermate e richieste in attesa.</w:t>
            </w:r>
            <w:bookmarkStart w:id="66" w:name="accessi-al-modello-prenotazione"/>
            <w:bookmarkEnd w:id="66"/>
          </w:p>
        </w:tc>
      </w:tr>
    </w:tbl>
    <w:p>
      <w:pPr>
        <w:pStyle w:val="Heading3"/>
        <w:rPr/>
      </w:pPr>
      <w:r>
        <w:rPr/>
        <w:t xml:space="preserve">Dipendenze senza accesso diretto a </w:t>
      </w:r>
      <w:r>
        <w:rPr>
          <w:rStyle w:val="VerbatimChar"/>
        </w:rPr>
        <w:t>Prenotazione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37"/>
        <w:gridCol w:w="3137"/>
        <w:gridCol w:w="3138"/>
      </w:tblGrid>
      <w:tr>
        <w:trPr>
          <w:tblHeader w:val="true"/>
        </w:trPr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Componente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Dipendenza effettiva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Osservazione AS-IS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src/lib/auth.ts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Usa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lib/prisma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per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User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; fornisce sessione e ruoli.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Solo check-in dedicato e route admin lo invocano. Le route generiche prenotazioni e l’estensione non derivano l’identità dalla sessione.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src/app/prenota/page.tsx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Chiama API sale, posti, profilo e prenotazioni.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Invia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session.user.id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nel JSON; non accede direttamente al DB.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src/app/prenotazioni/page.tsx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Chiama API lista e dettaglio per azioni utente.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Il filtro usa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utenteId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mentre la route legge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userId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: dipendenza contrattuale incoerente da preservare come evidenza AS-IS.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MappaBiblioteca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/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MobilePostiGrid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Ricevono i posti via props da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/prenota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Non aprono uno stream SSE; rappresentano uno snapshot ottenuto da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/api/posti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src/lib/sse-emitter.ts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Mantiene stream e canali in memoria.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Non legge né scrive Prisma.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src/lib/realtime-events.ts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Importa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sse-emitter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lib/prisma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per statistiche di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Sala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/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Posto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Nessuna route o servizio di prenotazione chiama gli helper nella baseline; esistono ma sono scollegati dal flusso.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src/hooks/use-sse.ts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Espone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usePostiSSE()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verso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/api/sse/posti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Nessun componente UI lo importa nella baseline.</w:t>
            </w:r>
          </w:p>
        </w:tc>
      </w:tr>
    </w:tbl>
    <w:p>
      <w:pPr>
        <w:pStyle w:val="Heading3"/>
        <w:rPr/>
      </w:pPr>
      <w:r>
        <w:rPr/>
        <w:t>Punti di impatto diretto</w:t>
      </w:r>
    </w:p>
    <w:p>
      <w:pPr>
        <w:pStyle w:val="Compact"/>
        <w:numPr>
          <w:ilvl w:val="0"/>
          <w:numId w:val="77"/>
        </w:numPr>
        <w:rPr/>
      </w:pPr>
      <w:r>
        <w:rPr>
          <w:b/>
          <w:bCs/>
        </w:rPr>
        <w:t>Identità e ownership.</w:t>
      </w:r>
      <w:r>
        <w:rPr/>
        <w:t xml:space="preserve"> </w:t>
      </w:r>
      <w:r>
        <w:rPr>
          <w:rStyle w:val="VerbatimChar"/>
        </w:rPr>
        <w:t>POST /api/prenotazioni</w:t>
      </w:r>
      <w:r>
        <w:rPr/>
        <w:t xml:space="preserve"> accetta </w:t>
      </w:r>
      <w:r>
        <w:rPr>
          <w:rStyle w:val="VerbatimChar"/>
        </w:rPr>
        <w:t>userId</w:t>
      </w:r>
      <w:r>
        <w:rPr/>
        <w:t xml:space="preserve"> dal client; le route generiche di dettaglio e l’estensione non usano </w:t>
      </w:r>
      <w:r>
        <w:rPr>
          <w:rStyle w:val="VerbatimChar"/>
        </w:rPr>
        <w:t>auth()</w:t>
      </w:r>
      <w:r>
        <w:rPr/>
        <w:t>.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Validazione duplicata.</w:t>
      </w:r>
      <w:r>
        <w:rPr/>
        <w:t xml:space="preserve"> Creazione, check-in ed estensione implementano controlli separati su stato, intervalli e sovrapposizioni.</w:t>
      </w:r>
    </w:p>
    <w:p>
      <w:pPr>
        <w:pStyle w:val="Compact"/>
        <w:numPr>
          <w:ilvl w:val="0"/>
          <w:numId w:val="79"/>
        </w:numPr>
        <w:rPr/>
      </w:pPr>
      <w:r>
        <w:rPr>
          <w:b/>
          <w:bCs/>
        </w:rPr>
        <w:t>Atomicità assente.</w:t>
      </w:r>
      <w:r>
        <w:rPr/>
        <w:t xml:space="preserve"> La verifica della disponibilità e la creazione sono operazioni Prisma separate; non esiste un vincolo DB che impedisca due prenotazioni sovrapposte.</w:t>
      </w:r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Nuovo modello di attesa.</w:t>
      </w:r>
      <w:r>
        <w:rPr/>
        <w:t xml:space="preserve"> Schema Prisma, filtri e accessi al modello dovranno rappresentare una richiesta non ancora confermata senza renderla prenotabile o idonea al check-in.</w:t>
      </w:r>
    </w:p>
    <w:p>
      <w:pPr>
        <w:pStyle w:val="Heading3"/>
        <w:rPr/>
      </w:pPr>
      <w:bookmarkStart w:id="67" w:name="X9faa5b16ff964926f00effc154f560962da41c4"/>
      <w:r>
        <w:rPr/>
        <w:t>Ripple effect da dimostrare nelle fasi successive</w:t>
      </w:r>
    </w:p>
    <w:p>
      <w:pPr>
        <w:pStyle w:val="Compact"/>
        <w:numPr>
          <w:ilvl w:val="0"/>
          <w:numId w:val="81"/>
        </w:numPr>
        <w:rPr/>
      </w:pPr>
      <w:r>
        <w:rPr>
          <w:b/>
          <w:bCs/>
        </w:rPr>
        <w:t>Cancellazione staff e utente:</w:t>
      </w:r>
      <w:r>
        <w:rPr/>
        <w:t xml:space="preserve"> oltre a liberare il posto dovrà promuovere la coda una sola volta.</w:t>
      </w:r>
    </w:p>
    <w:p>
      <w:pPr>
        <w:pStyle w:val="Compact"/>
        <w:numPr>
          <w:ilvl w:val="0"/>
          <w:numId w:val="82"/>
        </w:numPr>
        <w:rPr/>
      </w:pPr>
      <w:r>
        <w:rPr>
          <w:b/>
          <w:bCs/>
        </w:rPr>
        <w:t>No-show automatico e amministrativo:</w:t>
      </w:r>
      <w:r>
        <w:rPr/>
        <w:t xml:space="preserve"> </w:t>
      </w:r>
      <w:r>
        <w:rPr>
          <w:rStyle w:val="VerbatimChar"/>
        </w:rPr>
        <w:t>automation-service</w:t>
      </w:r>
      <w:r>
        <w:rPr/>
        <w:t xml:space="preserve"> e anomalie admin scrivono direttamente </w:t>
      </w:r>
      <w:r>
        <w:rPr>
          <w:rStyle w:val="VerbatimChar"/>
        </w:rPr>
        <w:t>Prenotazione</w:t>
      </w:r>
      <w:r>
        <w:rPr/>
        <w:t xml:space="preserve"> e </w:t>
      </w:r>
      <w:r>
        <w:rPr>
          <w:rStyle w:val="VerbatimChar"/>
        </w:rPr>
        <w:t>Posto</w:t>
      </w:r>
      <w:r>
        <w:rPr/>
        <w:t>; devono condividere la stessa promozione idempotente.</w:t>
      </w:r>
    </w:p>
    <w:p>
      <w:pPr>
        <w:pStyle w:val="Compact"/>
        <w:numPr>
          <w:ilvl w:val="0"/>
          <w:numId w:val="83"/>
        </w:numPr>
        <w:rPr/>
      </w:pPr>
      <w:r>
        <w:rPr>
          <w:b/>
          <w:bCs/>
        </w:rPr>
        <w:t>Estensione:</w:t>
      </w:r>
      <w:r>
        <w:rPr/>
        <w:t xml:space="preserve"> la ricerca conflitti locale deve usare la stessa regola atomica della creazione.</w:t>
      </w:r>
    </w:p>
    <w:p>
      <w:pPr>
        <w:pStyle w:val="Compact"/>
        <w:numPr>
          <w:ilvl w:val="0"/>
          <w:numId w:val="84"/>
        </w:numPr>
        <w:rPr/>
      </w:pPr>
      <w:r>
        <w:rPr>
          <w:b/>
          <w:bCs/>
        </w:rPr>
        <w:t>Scanner e check-in:</w:t>
      </w:r>
      <w:r>
        <w:rPr/>
        <w:t xml:space="preserve"> i nuovi stati non confermati devono essere rifiutati.</w:t>
      </w:r>
    </w:p>
    <w:p>
      <w:pPr>
        <w:pStyle w:val="Compact"/>
        <w:numPr>
          <w:ilvl w:val="0"/>
          <w:numId w:val="85"/>
        </w:numPr>
        <w:rPr/>
      </w:pPr>
      <w:r>
        <w:rPr>
          <w:b/>
          <w:bCs/>
        </w:rPr>
        <w:t>Statistiche e dashboard:</w:t>
      </w:r>
      <w:r>
        <w:rPr/>
        <w:t xml:space="preserve"> nuovi stati e log non devono inquinare trend, no-show e conteggi.</w:t>
      </w:r>
    </w:p>
    <w:p>
      <w:pPr>
        <w:pStyle w:val="Compact"/>
        <w:numPr>
          <w:ilvl w:val="0"/>
          <w:numId w:val="86"/>
        </w:numPr>
        <w:rPr/>
      </w:pPr>
      <w:r>
        <w:rPr>
          <w:b/>
          <w:bCs/>
        </w:rPr>
        <w:t>Realtime:</w:t>
      </w:r>
      <w:r>
        <w:rPr/>
        <w:t xml:space="preserve"> la baseline contiene emettitore, endpoint e hook, ma non il collegamento completo. La CR dovrà collegare le transizioni a eventi e consumatori senza rompere la mappa esistente.</w:t>
      </w:r>
    </w:p>
    <w:p>
      <w:pPr>
        <w:pStyle w:val="Compact"/>
        <w:numPr>
          <w:ilvl w:val="0"/>
          <w:numId w:val="87"/>
        </w:numPr>
        <w:rPr/>
      </w:pPr>
      <w:r>
        <w:rPr>
          <w:b/>
          <w:bCs/>
        </w:rPr>
        <w:t>Notifiche e log:</w:t>
      </w:r>
      <w:r>
        <w:rPr/>
        <w:t xml:space="preserve"> le route e le automazioni li scrivono insieme alle transizioni, spesso fuori da una transazione; i nuovi eventi devono restare coerenti con lo stato persistito.</w:t>
      </w:r>
      <w:bookmarkEnd w:id="67"/>
    </w:p>
    <w:p>
      <w:pPr>
        <w:pStyle w:val="Heading3"/>
        <w:rPr/>
      </w:pPr>
      <w:bookmarkStart w:id="68" w:name="confini-del-documento"/>
      <w:r>
        <w:rPr/>
        <w:t>Confini del documento</w:t>
      </w:r>
    </w:p>
    <w:p>
      <w:pPr>
        <w:pStyle w:val="FirstParagraph"/>
        <w:rPr/>
      </w:pPr>
      <w:r>
        <w:rPr/>
        <w:t xml:space="preserve">Il diagramma rappresenta le dipendenze osservate, non l’architettura desiderata. Non introduce il futuro </w:t>
      </w:r>
      <w:r>
        <w:rPr>
          <w:rStyle w:val="VerbatimChar"/>
        </w:rPr>
        <w:t>prenotazioni-service</w:t>
      </w:r>
      <w:r>
        <w:rPr/>
        <w:t>, la lista d’attesa o nuovi enum: questi appartengono ai diagrammi TO-BE e alle fasi di implementazione. Nessun file applicativo è stato modificato per produrre questa analisi.</w:t>
      </w:r>
      <w:bookmarkEnd w:id="60"/>
      <w:bookmarkEnd w:id="68"/>
    </w:p>
    <w:p>
      <w:pPr>
        <w:pStyle w:val="Heading2"/>
        <w:rPr/>
      </w:pPr>
      <w:bookmarkStart w:id="69" w:name="__RefHeading___Toc7604_3672760668"/>
      <w:bookmarkStart w:id="70" w:name="stati-di-prenotazione-as-is"/>
      <w:bookmarkEnd w:id="69"/>
      <w:r>
        <w:rPr/>
        <w:t xml:space="preserve">Stati di </w:t>
      </w:r>
      <w:r>
        <w:rPr>
          <w:rStyle w:val="VerbatimChar"/>
        </w:rPr>
        <w:t>Prenotazione</w:t>
      </w:r>
      <w:r>
        <w:rPr/>
        <w:t xml:space="preserve"> — AS-IS</w:t>
      </w:r>
    </w:p>
    <w:p>
      <w:pPr>
        <w:pStyle w:val="FirstParagraph"/>
        <w:rPr/>
      </w:pPr>
      <w:r>
        <w:rPr/>
        <w:t xml:space="preserve">Questo documento descrive le transizioni effettivamente implementate nella baseline precedente alla CR-BF-01. Gli stati provengono dall’enum </w:t>
      </w:r>
      <w:r>
        <w:rPr>
          <w:rStyle w:val="VerbatimChar"/>
        </w:rPr>
        <w:t>StatoPrenotazione</w:t>
      </w:r>
      <w:r>
        <w:rPr/>
        <w:t xml:space="preserve"> in </w:t>
      </w:r>
      <w:r>
        <w:rPr>
          <w:rStyle w:val="VerbatimChar"/>
        </w:rPr>
        <w:t>prisma/schema.prisma</w:t>
      </w:r>
      <w:r>
        <w:rPr/>
        <w:t>.</w:t>
      </w:r>
    </w:p>
    <w:p>
      <w:pPr>
        <w:pStyle w:val="BodyText"/>
        <w:rPr/>
      </w:pPr>
      <w:r>
        <w:rPr/>
        <w:t>Il diagramma distingue il flusso ordinario dalle transizioni anomale che il codice attuale consente per assenza di un controllo sullo stato di partenza. Queste ultime non rappresentano il comportamento desiderato: sono parte dell’analisi AS-IS.</w:t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5760085" cy="132207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r>
        <w:rPr/>
        <w:t>Evidenze nel codice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52"/>
        <w:gridCol w:w="2353"/>
        <w:gridCol w:w="2353"/>
        <w:gridCol w:w="2353"/>
      </w:tblGrid>
      <w:tr>
        <w:trPr>
          <w:tblHeader w:val="true"/>
        </w:trPr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Stato iniziale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Stato finale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Attore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Evidenza AS-IS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nuovo record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CONFERMATA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client/utente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POST /api/prenotazioni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crea esplicitamente la prenotazione come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CONFERMATA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; l’identità arriva attualmente dal payload.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CONFERMATA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CHECK_IN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utente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PATCH /api/prenotazioni/[id]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con azione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check-in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POST /api/prenotazioni/[id]/check-in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entrambi richiedono lo stato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CONFERMATA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CONFERMATA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CHECK_IN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bibliotecario/admin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POST /api/admin/prenotazioni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con azione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CHECK_IN_MANUALE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POST /api/admin/scanner/validate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CHECK_IN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COMPLETATA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utente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PATCH /api/prenotazioni/[id]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con azione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check-out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l’azione richiede lo stato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CHECK_IN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CONFERMATA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NO_SHOW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automazione/cron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releaseNoShowReservations()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in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src/lib/automation-service.ts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invocata dall’endpoint cron, seleziona solo prenotazioni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CONFERMATA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CONFERMATA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NO_SHOW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bibliotecario/admin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Azione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ANNULLA_PRENOTAZIONI_SENZA_CHECKIN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in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src/app/api/admin/anomalie/route.ts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CONFERMATA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CHECK_IN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CANCELLATA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utente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PATCH /api/prenotazioni/[id]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con azione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cancella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; gli altri stati vengono rifiutati.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qualunque stato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CANCELLATA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bibliotecario/admin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Le azioni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ANNULLA_SINGOLA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ANNULLA_MULTIPLE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in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src/app/api/admin/prenotazioni/route.ts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non controllano lo stato iniziale. Nel diagramma sono mostrate solo le transizioni che cambiano effettivamente valore.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CANCELLATA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NO_SHOW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SCADUTA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CHECK_IN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bibliotecario/admin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CHECK_IN_MANUALE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rifiuta soltanto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CHECK_IN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COMPLETATA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lo scanner rifiuta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CANCELLATA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SCADUTA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ma non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NO_SHOW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 Queste transizioni sono quindi tecnicamente raggiungibili.</w:t>
            </w:r>
            <w:bookmarkStart w:id="71" w:name="evidenze-nel-codice"/>
            <w:bookmarkEnd w:id="71"/>
          </w:p>
        </w:tc>
      </w:tr>
    </w:tbl>
    <w:p>
      <w:pPr>
        <w:pStyle w:val="Heading3"/>
        <w:rPr/>
      </w:pPr>
      <w:r>
        <w:rPr/>
        <w:t>Stati terminali e stato non raggiungibile</w:t>
      </w:r>
    </w:p>
    <w:p>
      <w:pPr>
        <w:pStyle w:val="FirstParagraph"/>
        <w:rPr/>
      </w:pPr>
      <w:r>
        <w:rPr/>
        <w:t xml:space="preserve">Nel flusso ordinario </w:t>
      </w:r>
      <w:r>
        <w:rPr>
          <w:rStyle w:val="VerbatimChar"/>
        </w:rPr>
        <w:t>COMPLETATA</w:t>
      </w:r>
      <w:r>
        <w:rPr/>
        <w:t xml:space="preserve">, </w:t>
      </w:r>
      <w:r>
        <w:rPr>
          <w:rStyle w:val="VerbatimChar"/>
        </w:rPr>
        <w:t>CANCELLATA</w:t>
      </w:r>
      <w:r>
        <w:rPr/>
        <w:t xml:space="preserve"> e </w:t>
      </w:r>
      <w:r>
        <w:rPr>
          <w:rStyle w:val="VerbatimChar"/>
        </w:rPr>
        <w:t>NO_SHOW</w:t>
      </w:r>
      <w:r>
        <w:rPr/>
        <w:t xml:space="preserve"> sono terminali. Le azioni amministrative prive di validazione possono tuttavia riaprire o sovrascrivere parte di questi stati, come indicato nel diagramma.</w:t>
      </w:r>
    </w:p>
    <w:p>
      <w:pPr>
        <w:pStyle w:val="BodyText"/>
        <w:rPr/>
      </w:pPr>
      <w:r>
        <w:rPr>
          <w:rStyle w:val="VerbatimChar"/>
        </w:rPr>
        <w:t>SCADUTA</w:t>
      </w:r>
      <w:r>
        <w:rPr/>
        <w:t xml:space="preserve"> non ha alcuna transizione entrante implementata: compare nell’enum, nei tipi TypeScript, nei filtri dell’interfaccia amministrativa e nelle verifiche dello scanner, ma non viene mai scritto da una route, un servizio o il seed attuale.</w:t>
      </w:r>
    </w:p>
    <w:p>
      <w:pPr>
        <w:pStyle w:val="BodyText"/>
        <w:rPr/>
      </w:pPr>
      <w:r>
        <w:rPr/>
        <w:t xml:space="preserve">La route </w:t>
      </w:r>
      <w:r>
        <w:rPr>
          <w:rStyle w:val="VerbatimChar"/>
        </w:rPr>
        <w:t>DELETE /api/prenotazioni/[id]</w:t>
      </w:r>
      <w:r>
        <w:rPr/>
        <w:t xml:space="preserve"> elimina fisicamente il record senza assegnare uno stato dell’enum; per questo non è rappresentata come transizione di stato.</w:t>
      </w:r>
      <w:bookmarkEnd w:id="70"/>
    </w:p>
    <w:p>
      <w:pPr>
        <w:pStyle w:val="Heading2"/>
        <w:rPr/>
      </w:pPr>
      <w:bookmarkStart w:id="72" w:name="__RefHeading___Toc7606_3672760668"/>
      <w:bookmarkStart w:id="73" w:name="matrice-ruoli-operazioni-as-is"/>
      <w:bookmarkEnd w:id="72"/>
      <w:bookmarkEnd w:id="73"/>
      <w:r>
        <w:rPr/>
        <w:t>Matrice ruoli-operazioni — AS-IS</w:t>
      </w:r>
    </w:p>
    <w:p>
      <w:pPr>
        <w:pStyle w:val="Heading3"/>
        <w:rPr/>
      </w:pPr>
      <w:bookmarkStart w:id="74" w:name="scopo-e-baseline"/>
      <w:r>
        <w:rPr/>
        <w:t>Scopo e baseline</w:t>
      </w:r>
    </w:p>
    <w:p>
      <w:pPr>
        <w:pStyle w:val="FirstParagraph"/>
        <w:rPr/>
      </w:pPr>
      <w:r>
        <w:rPr/>
        <w:t xml:space="preserve">Questo documento fotografa i controlli di autenticazione e autorizzazione effettivamente implementati prima della CR-BF-01. L’analisi è stata ricavata manualmente dai route handler e da </w:t>
      </w:r>
      <w:r>
        <w:rPr>
          <w:rStyle w:val="VerbatimChar"/>
        </w:rPr>
        <w:t>src/middleware.ts</w:t>
      </w:r>
      <w:r>
        <w:rPr/>
        <w:t xml:space="preserve"> sulla baseline </w:t>
      </w:r>
      <w:r>
        <w:rPr>
          <w:rStyle w:val="VerbatimChar"/>
        </w:rPr>
        <w:t>main</w:t>
      </w:r>
      <w:r>
        <w:rPr/>
        <w:t xml:space="preserve"> al commit </w:t>
      </w:r>
      <w:r>
        <w:rPr>
          <w:rStyle w:val="VerbatimChar"/>
        </w:rPr>
        <w:t>7469969</w:t>
      </w:r>
      <w:r>
        <w:rPr/>
        <w:t xml:space="preserve"> (tag </w:t>
      </w:r>
      <w:r>
        <w:rPr>
          <w:rStyle w:val="VerbatimChar"/>
        </w:rPr>
        <w:t>baseline-pre-cr-bf-01</w:t>
      </w:r>
      <w:r>
        <w:rPr/>
        <w:t>).</w:t>
      </w:r>
    </w:p>
    <w:p>
      <w:pPr>
        <w:pStyle w:val="Compact"/>
        <w:numPr>
          <w:ilvl w:val="0"/>
          <w:numId w:val="88"/>
        </w:numPr>
        <w:rPr/>
      </w:pPr>
      <w:r>
        <w:rPr/>
        <w:t xml:space="preserve">Task: </w:t>
      </w:r>
      <w:hyperlink r:id="rId7">
        <w:r>
          <w:rPr>
            <w:rStyle w:val="Hyperlink"/>
          </w:rPr>
          <w:t>BIB-18 — Matrice ruoli-operazioni (AS-IS)</w:t>
        </w:r>
      </w:hyperlink>
    </w:p>
    <w:p>
      <w:pPr>
        <w:pStyle w:val="Compact"/>
        <w:numPr>
          <w:ilvl w:val="0"/>
          <w:numId w:val="89"/>
        </w:numPr>
        <w:rPr/>
      </w:pPr>
      <w:r>
        <w:rPr/>
        <w:t>Responsabile operativo: Renato Mancino, subentrato ad Alfonso Ferrara</w:t>
      </w:r>
    </w:p>
    <w:p>
      <w:pPr>
        <w:pStyle w:val="Compact"/>
        <w:numPr>
          <w:ilvl w:val="0"/>
          <w:numId w:val="90"/>
        </w:numPr>
        <w:rPr/>
      </w:pPr>
      <w:r>
        <w:rPr/>
        <w:t xml:space="preserve">Ambito completo: </w:t>
      </w:r>
      <w:r>
        <w:rPr>
          <w:rStyle w:val="VerbatimChar"/>
        </w:rPr>
        <w:t>src/app/api/prenotazioni/**</w:t>
      </w:r>
      <w:r>
        <w:rPr/>
        <w:t xml:space="preserve"> e </w:t>
      </w:r>
      <w:r>
        <w:rPr>
          <w:rStyle w:val="VerbatimChar"/>
        </w:rPr>
        <w:t>src/app/api/admin/**</w:t>
      </w:r>
    </w:p>
    <w:p>
      <w:pPr>
        <w:pStyle w:val="Compact"/>
        <w:numPr>
          <w:ilvl w:val="0"/>
          <w:numId w:val="91"/>
        </w:numPr>
        <w:rPr/>
      </w:pPr>
      <w:r>
        <w:rPr/>
        <w:t>Inventario: 16 file route, 23 operazioni HTTP</w:t>
      </w:r>
    </w:p>
    <w:p>
      <w:pPr>
        <w:pStyle w:val="Compact"/>
        <w:numPr>
          <w:ilvl w:val="0"/>
          <w:numId w:val="92"/>
        </w:numPr>
        <w:rPr/>
      </w:pPr>
      <w:bookmarkStart w:id="75" w:name="scopo-e-baseline"/>
      <w:r>
        <w:rPr/>
        <w:t>Criteri di accettazione CR-BF-01: nessuno specifico; la matrice prepara i test negativi di autorizzazione e la futura verifica di CA-01</w:t>
      </w:r>
      <w:bookmarkEnd w:id="75"/>
    </w:p>
    <w:p>
      <w:pPr>
        <w:pStyle w:val="Heading3"/>
        <w:rPr/>
      </w:pPr>
      <w:bookmarkStart w:id="76" w:name="come-leggere-la-matrice"/>
      <w:r>
        <w:rPr/>
        <w:t>Come leggere la matrice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705"/>
        <w:gridCol w:w="4706"/>
      </w:tblGrid>
      <w:tr>
        <w:trPr>
          <w:tblHeader w:val="true"/>
        </w:trPr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Simbolo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Significato AS-IS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Ruolo esplicitamente ammesso dopo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controllo del ruolo nel route handler.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👤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Ammesso dopo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solo sulla prenotazione appartenente all’identità di sessione.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🔐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Ammesso da un handler che valida la sessione, ma non limita il ruolo.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Nessun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nel handler e nessun controllo di ruolo; nel percorso HTTP ordinario resta soltanto il controllo superficiale del middleware.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❌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Ruolo esplicitamente respinto dal route handler con HTTP 403.</w:t>
            </w:r>
          </w:p>
        </w:tc>
      </w:tr>
    </w:tbl>
    <w:p>
      <w:pPr>
        <w:pStyle w:val="BodyText"/>
        <w:rPr/>
      </w:pPr>
      <w:r>
        <w:rPr/>
        <w:t xml:space="preserve">Il middleware intercetta tutte le API non pubbliche e restituisce 401 quando non trova un cookie </w:t>
      </w:r>
      <w:r>
        <w:rPr>
          <w:rStyle w:val="VerbatimChar"/>
        </w:rPr>
        <w:t>authjs.session-token</w:t>
      </w:r>
      <w:r>
        <w:rPr/>
        <w:t xml:space="preserve"> o </w:t>
      </w:r>
      <w:r>
        <w:rPr>
          <w:rStyle w:val="VerbatimChar"/>
        </w:rPr>
        <w:t>__Secure-authjs.session-token</w:t>
      </w:r>
      <w:r>
        <w:rPr/>
        <w:t xml:space="preserve">. Non decodifica però il token e non verifica né sessione né ruolo: se il handler non chiama </w:t>
      </w:r>
      <w:r>
        <w:rPr>
          <w:rStyle w:val="VerbatimChar"/>
        </w:rPr>
        <w:t>auth()</w:t>
      </w:r>
      <w:r>
        <w:rPr/>
        <w:t>, la sola presenza del cookie consente di raggiungere la logica applicativa. Per questo ⚠️ non equivale a un’autorizzazione verificata.</w:t>
      </w:r>
      <w:bookmarkEnd w:id="76"/>
    </w:p>
    <w:p>
      <w:pPr>
        <w:pStyle w:val="Heading3"/>
        <w:rPr/>
      </w:pPr>
      <w:bookmarkStart w:id="77" w:name="area-prenotazioni"/>
      <w:r>
        <w:rPr/>
        <w:t>Area prenotazioni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45"/>
        <w:gridCol w:w="1047"/>
        <w:gridCol w:w="1742"/>
        <w:gridCol w:w="1743"/>
        <w:gridCol w:w="1742"/>
        <w:gridCol w:w="1047"/>
        <w:gridCol w:w="1045"/>
      </w:tblGrid>
      <w:tr>
        <w:trPr>
          <w:tblHeader w:val="true"/>
        </w:trPr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Endpoint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Operazione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STUDENTE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BIBLIOTECARIO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ADMIN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Guardia effettiva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Identità o risorsa target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/api/prenotazioni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GET — elenco e filtri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Nessun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nel handler.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userId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opzionale dalla query; può indicare qualunque utente. Senza filtro restituisce tutte le prenotazioni.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/api/prenotazioni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POST — creazione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Nessun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nel handler.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b/>
                <w:bCs/>
                <w:kern w:val="0"/>
                <w:sz w:val="17"/>
                <w:szCs w:val="24"/>
                <w:lang w:val="it-IT" w:eastAsia="en-US" w:bidi="ar-SA"/>
              </w:rPr>
              <w:t>userId</w:t>
            </w: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 xml:space="preserve"> arriva dal payload client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ed è usato per prenotazione, log e notifica.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/api/prenotazioni/[id]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GET — dettaglio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Nessun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nessuna ownership.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Prenotazione scelta tramite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id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nel path; include dati dell’utente e gli ultimi eventi.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/api/prenotazioni/[id]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PATCH — check-in, check-out, cancellazione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Nessun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nessuna ownership.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Prenotazione scelta dal path. </w:t>
            </w:r>
            <w:r>
              <w:rPr>
                <w:rStyle w:val="VerbatimChar"/>
                <w:b/>
                <w:bCs/>
                <w:kern w:val="0"/>
                <w:sz w:val="17"/>
                <w:szCs w:val="24"/>
                <w:lang w:val="it-IT" w:eastAsia="en-US" w:bidi="ar-SA"/>
              </w:rPr>
              <w:t>userId</w:t>
            </w: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 xml:space="preserve"> opzionale dal payload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influenza il log, non autorizza l’azione.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/api/prenotazioni/[id]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DELETE — eliminazione fisica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Nessun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nessuna ownership.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Prenotazione scelta dal path; elimina anche i log collegati.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/api/prenotazioni/[id]/check-in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POST — check-in dedicato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👤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👤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👤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confronto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prenotazione.userId === session.user.id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; nessun vincolo di ruolo.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Identità dalla sessione; il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timestamp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operativo può arrivare dal payload client.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/api/prenotazioni/[id]/estendi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GET — slot di estensione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Nessun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nessuna ownership.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Prenotazione scelta dal path.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/api/prenotazioni/[id]/estendi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POST — estensione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Nessun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nessuna ownership.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Prenotazione scelta dal path;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nuovaOraFine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arriva dal payload client.</w:t>
            </w:r>
          </w:p>
        </w:tc>
      </w:tr>
    </w:tbl>
    <w:p>
      <w:pPr>
        <w:pStyle w:val="Heading4"/>
        <w:rPr/>
      </w:pPr>
      <w:r>
        <w:rPr/>
        <w:t>Risultato per l’area prenotazioni</w:t>
      </w:r>
    </w:p>
    <w:p>
      <w:pPr>
        <w:pStyle w:val="FirstParagraph"/>
        <w:rPr/>
      </w:pPr>
      <w:bookmarkStart w:id="78" w:name="area-prenotazioni"/>
      <w:r>
        <w:rPr/>
        <w:t>Solo il check-in dedicato lega l’operazione alla sessione e verifica l’ownership. Tutte le altre operazioni possono essere eseguite da qualunque ruolo che superi il controllo di presenza del cookie del middleware; GET, PATCH, DELETE ed estensione non impediscono l’accesso a prenotazioni altrui.</w:t>
      </w:r>
      <w:bookmarkEnd w:id="78"/>
    </w:p>
    <w:p>
      <w:pPr>
        <w:pStyle w:val="Heading3"/>
        <w:rPr/>
      </w:pPr>
      <w:bookmarkStart w:id="79" w:name="area-admin"/>
      <w:r>
        <w:rPr/>
        <w:t>Area admin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45"/>
        <w:gridCol w:w="1047"/>
        <w:gridCol w:w="1742"/>
        <w:gridCol w:w="1743"/>
        <w:gridCol w:w="1742"/>
        <w:gridCol w:w="1047"/>
        <w:gridCol w:w="1045"/>
      </w:tblGrid>
      <w:tr>
        <w:trPr>
          <w:tblHeader w:val="true"/>
        </w:trPr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Endpoint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Operazione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STUDENTE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BIBLIOTECARIO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ADMIN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Guardia effettiva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Identità o risorsa target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/api/admin/anomalie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POST — risoluzione anomalie e azioni batch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❌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più controllo ruolo staff.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Attore dalla sessione; azione e target (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userId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quando richiesto) dal payload.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/api/admin/posti/[id]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GET — posto, prenotazioni e utenti collegati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🔐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🔐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🔐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senza controllo ruolo.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Posto dal path; uno STUDENTE autenticato può leggere anche lo storico incluso.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/api/admin/posti/[id]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PATCH — cambio stato posto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❌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più controllo ruolo staff.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Attore dalla sessione; posto dal path, stato e motivo dal payload.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/api/admin/posti/[id]/dettagli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GET — statistiche e storico posto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❌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più controllo ruolo staff.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Posto dal path.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/api/admin/prenotazioni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POST — annulla singola/multiple, check-in manuale, modifica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❌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più controllo ruolo staff, uguale per tutte le azioni.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Attore dalla sessione; azione, ID e nuovi dati dal payload.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/api/admin/prestiti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POST — restituisci, rinnova, sollecita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❌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più controllo ruolo staff, uguale per tutte le azioni.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Attore dalla sessione; azione e ID dal payload.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/api/admin/richieste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GET — elenco richieste di preparazione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 xml:space="preserve">Nessun </w:t>
            </w:r>
            <w:r>
              <w:rPr>
                <w:rStyle w:val="VerbatimChar"/>
                <w:b/>
                <w:bCs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 xml:space="preserve"> e nessun controllo ruolo nel handler.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Filtro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stato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dalla query; risposta con dati personali dell’utente.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/api/admin/richieste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PATCH — modifica stato e note richiesta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⚠️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 xml:space="preserve">Nessun </w:t>
            </w:r>
            <w:r>
              <w:rPr>
                <w:rStyle w:val="VerbatimChar"/>
                <w:b/>
                <w:bCs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 xml:space="preserve"> e nessun controllo ruolo nel handler.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ID, stato e note arrivano dal payload client.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/api/admin/scanner/validate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POST — check-in tramite QR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❌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più controllo ruolo staff.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Attore dalla sessione; QR dal payload contiene prenotazione e utente firmati.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/api/admin/statistiche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GET — aggregazioni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❌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più controllo ruolo staff.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Tipo di statistica dalla query.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/api/admin/utenti/[id]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GET — dettaglio utente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❌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più controllo ruolo staff.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Utente target dal path.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/api/admin/utenti/[id]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PATCH — attiva/disattiva utente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❌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❌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più controllo esclusivo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ADMIN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; vietata l’auto-disattivazione.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Attore dalla sessione; utente dal path 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attivo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dal payload.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/api/admin/utenti/[id]/notifica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POST — invia notifica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❌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più controllo ruolo staff.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Attore dalla sessione; destinatario dal path e contenuto dal payload.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/api/admin/utenti/[id]/profilo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GET — profilo completo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❌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più controllo ruolo staff.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Utente target dal path.</w:t>
            </w:r>
          </w:p>
        </w:tc>
      </w:tr>
      <w:tr>
        <w:trPr/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/api/admin/utenti/[id]/storico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GET — storico eventi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❌</w:t>
            </w:r>
          </w:p>
        </w:tc>
        <w:tc>
          <w:tcPr>
            <w:tcW w:w="174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74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✅</w:t>
            </w:r>
          </w:p>
        </w:tc>
        <w:tc>
          <w:tcPr>
            <w:tcW w:w="104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più controllo ruolo staff.</w:t>
            </w:r>
          </w:p>
        </w:tc>
        <w:tc>
          <w:tcPr>
            <w:tcW w:w="104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Utente target dal path.</w:t>
            </w:r>
          </w:p>
        </w:tc>
      </w:tr>
    </w:tbl>
    <w:p>
      <w:pPr>
        <w:pStyle w:val="Heading4"/>
        <w:rPr/>
      </w:pPr>
      <w:r>
        <w:rPr/>
        <w:t>Risultato per l’area admin</w:t>
      </w:r>
    </w:p>
    <w:p>
      <w:pPr>
        <w:pStyle w:val="FirstParagraph"/>
        <w:rPr/>
      </w:pPr>
      <w:r>
        <w:rPr/>
        <w:t xml:space="preserve">La maggior parte delle route applica correttamente la coppia </w:t>
      </w:r>
      <w:r>
        <w:rPr>
          <w:rStyle w:val="VerbatimChar"/>
        </w:rPr>
        <w:t>BIBLIOTECARIO</w:t>
      </w:r>
      <w:r>
        <w:rPr/>
        <w:t>/</w:t>
      </w:r>
      <w:r>
        <w:rPr>
          <w:rStyle w:val="VerbatimChar"/>
        </w:rPr>
        <w:t>ADMIN</w:t>
      </w:r>
      <w:r>
        <w:rPr/>
        <w:t xml:space="preserve">; la modifica dello stato di un utente è riservata ad </w:t>
      </w:r>
      <w:r>
        <w:rPr>
          <w:rStyle w:val="VerbatimChar"/>
        </w:rPr>
        <w:t>ADMIN</w:t>
      </w:r>
      <w:r>
        <w:rPr/>
        <w:t>. Le eccezioni AS-IS sono:</w:t>
      </w:r>
    </w:p>
    <w:p>
      <w:pPr>
        <w:pStyle w:val="Compact"/>
        <w:numPr>
          <w:ilvl w:val="0"/>
          <w:numId w:val="93"/>
        </w:numPr>
        <w:rPr/>
      </w:pPr>
      <w:r>
        <w:rPr>
          <w:rStyle w:val="VerbatimChar"/>
        </w:rPr>
        <w:t>GET /api/admin/posti/[id]</w:t>
      </w:r>
      <w:r>
        <w:rPr/>
        <w:t xml:space="preserve"> valida la sessione ma non il ruolo e rende quindi disponibili a uno STUDENTE dati amministrativi, prenotazioni recenti e identità collegate.</w:t>
      </w:r>
    </w:p>
    <w:p>
      <w:pPr>
        <w:pStyle w:val="Compact"/>
        <w:numPr>
          <w:ilvl w:val="0"/>
          <w:numId w:val="94"/>
        </w:numPr>
        <w:rPr/>
      </w:pPr>
      <w:r>
        <w:rPr>
          <w:rStyle w:val="VerbatimChar"/>
        </w:rPr>
        <w:t>GET</w:t>
      </w:r>
      <w:r>
        <w:rPr/>
        <w:t xml:space="preserve"> e </w:t>
      </w:r>
      <w:r>
        <w:rPr>
          <w:rStyle w:val="VerbatimChar"/>
        </w:rPr>
        <w:t>PATCH /api/admin/richieste</w:t>
      </w:r>
      <w:r>
        <w:rPr/>
        <w:t xml:space="preserve"> non chiamano </w:t>
      </w:r>
      <w:r>
        <w:rPr>
          <w:rStyle w:val="VerbatimChar"/>
        </w:rPr>
        <w:t>auth()</w:t>
      </w:r>
      <w:r>
        <w:rPr/>
        <w:t xml:space="preserve"> e dipendono soltanto dalla presenza del cookie controllata dal middleware.</w:t>
      </w:r>
      <w:bookmarkEnd w:id="79"/>
    </w:p>
    <w:p>
      <w:pPr>
        <w:pStyle w:val="Heading3"/>
        <w:rPr/>
      </w:pPr>
      <w:r>
        <w:rPr/>
        <w:t>Origine dell’identità e decisioni di autorizzazione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37"/>
        <w:gridCol w:w="3137"/>
        <w:gridCol w:w="3138"/>
      </w:tblGrid>
      <w:tr>
        <w:trPr>
          <w:tblHeader w:val="true"/>
        </w:trPr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Origine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Operazioni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Conseguenza AS-IS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Sessione verificata con ownership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Solo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POST /api/prenotazioni/[id]/check-in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Impedisce il check-in di una prenotazione altrui, indipendentemente dal ruolo.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Sessione verificata come attore staff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Route admin protette.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Il target resta normalmente nel path/payload, ma l’attore dei log deriva dalla sessione.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Payload client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POST /api/prenotazioni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userId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),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PATCH /api/prenotazioni/[id]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userId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opzionale per il log).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Un client può creare per un altro utente o attribuire il log a un’identità arbitraria.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Query string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GET /api/prenotazioni?userId=...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Un client può enumerare le prenotazioni di altri utenti o omettere il filtro per leggerle tutte.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Solo ID nel path, senza ownership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Dettaglio, aggiornamento, eliminazione ed estensione della prenotazione.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La conoscenza dell’ID è sufficiente per leggere o modificare la risorsa dopo il solo passaggio del middleware.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Cookie controllato solo per presenza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Handler marcati ⚠️.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Un cookie non vuoto raggiunge il handler; la validità della sessione non è verificata localmente.</w:t>
            </w:r>
            <w:bookmarkStart w:id="80" w:name="X1e78bb1c794ed2691753b28a3d7ae61a1d43532"/>
            <w:bookmarkEnd w:id="80"/>
          </w:p>
        </w:tc>
      </w:tr>
    </w:tbl>
    <w:p>
      <w:pPr>
        <w:pStyle w:val="Heading3"/>
        <w:rPr/>
      </w:pPr>
      <w:r>
        <w:rPr/>
        <w:t>Base per i test negativi di autorizzazione</w:t>
      </w:r>
    </w:p>
    <w:p>
      <w:pPr>
        <w:pStyle w:val="FirstParagraph"/>
        <w:rPr/>
      </w:pPr>
      <w:r>
        <w:rPr/>
        <w:t>Gli identificativi seguenti sono proposti come riferimenti stabili per le suite post-modifica. Descrivono i varchi AS-IS da chiudere, non test già implementati in questa task.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37"/>
        <w:gridCol w:w="3137"/>
        <w:gridCol w:w="3138"/>
      </w:tblGrid>
      <w:tr>
        <w:trPr>
          <w:tblHeader w:val="true"/>
        </w:trPr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ID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Scenario negativo da verificare dopo la modifica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Esito richiesto dalla CR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AUTH-NEG-001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Richiesta protetta senza sessione.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HTTP 401.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AUTH-NEG-002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Cookie presente ma sessione/token non valido.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HTTP 401 prima dell’accesso ai dati.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AUTH-NEG-003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STUDENTE legge l’elenco senza filtro o usa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userId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altrui.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Accesso limitato alla propria identità o rifiuto secondo policy.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AUTH-NEG-004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STUDENTE crea una prenotazione con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userId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altrui nel payload.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Il payload non decide l’identità; viene usata la sessione.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AUTH-NEG-005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Utente legge, modifica, elimina o estende una prenotazione altrui.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HTTP 403/404 secondo policy.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AUTH-NEG-006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STUDENTE chiama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GET /api/admin/posti/[id]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HTTP 403.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AUTH-NEG-007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STUDENTE legge o aggiorna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/api/admin/richieste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HTTP 403.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AUTH-NEG-008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BIBLIOTECARIO tenta di attivare/disattivare un utente.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HTTP 403.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AUTH-NEG-009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Ruolo non staff chiama ciascuna route admin rimanente.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HTTP 403.</w:t>
            </w:r>
          </w:p>
        </w:tc>
      </w:tr>
    </w:tbl>
    <w:p>
      <w:pPr>
        <w:pStyle w:val="Heading3"/>
        <w:rPr/>
      </w:pPr>
      <w:r>
        <w:rPr/>
        <w:t>Tracciabilità e documenti collegati</w:t>
      </w:r>
    </w:p>
    <w:p>
      <w:pPr>
        <w:pStyle w:val="Compact"/>
        <w:numPr>
          <w:ilvl w:val="0"/>
          <w:numId w:val="95"/>
        </w:numPr>
        <w:rPr/>
      </w:pPr>
      <w:r>
        <w:rPr/>
        <w:t>BIB-17 — diagramma delle transizioni di stato: descrive quali transizioni possono essere attivate dagli endpoint qui censiti.</w:t>
      </w:r>
    </w:p>
    <w:p>
      <w:pPr>
        <w:pStyle w:val="Compact"/>
        <w:numPr>
          <w:ilvl w:val="0"/>
          <w:numId w:val="96"/>
        </w:numPr>
        <w:rPr/>
      </w:pPr>
      <w:hyperlink r:id="rId8">
        <w:r>
          <w:rPr>
            <w:rStyle w:val="Hyperlink"/>
          </w:rPr>
          <w:t>BIB-16 — diagramma dei componenti, PR #8</w:t>
        </w:r>
      </w:hyperlink>
      <w:r>
        <w:rPr/>
        <w:t>: mostra le dipendenze UI → API → auth/servizi → Prisma.</w:t>
      </w:r>
    </w:p>
    <w:p>
      <w:pPr>
        <w:pStyle w:val="Compact"/>
        <w:numPr>
          <w:ilvl w:val="0"/>
          <w:numId w:val="97"/>
        </w:numPr>
        <w:rPr/>
      </w:pPr>
      <w:hyperlink r:id="rId9">
        <w:r>
          <w:rPr>
            <w:rStyle w:val="Hyperlink"/>
          </w:rPr>
          <w:t>BIB-21 — test pre-modifica admin e UI, PR #7</w:t>
        </w:r>
      </w:hyperlink>
      <w:r>
        <w:rPr/>
        <w:t>: fornisce la baseline di regressione dell’area amministrativa.</w:t>
      </w:r>
    </w:p>
    <w:p>
      <w:pPr>
        <w:pStyle w:val="Heading3"/>
        <w:rPr/>
      </w:pPr>
      <w:bookmarkStart w:id="81" w:name="confini-del-documento-1"/>
      <w:bookmarkEnd w:id="81"/>
      <w:r>
        <w:rPr/>
        <w:t>Confini del documento</w:t>
      </w:r>
    </w:p>
    <w:p>
      <w:pPr>
        <w:pStyle w:val="FirstParagraph"/>
        <w:rPr/>
      </w:pPr>
      <w:r>
        <w:rPr/>
        <w:t>La matrice descrive il comportamento osservato, non quello desiderato. Non modifica middleware, route, ruoli o policy e non introduce test eseguibili: serve come input documentale ai test negativi e agli interventi delle fasi successive.</w:t>
      </w:r>
    </w:p>
    <w:p>
      <w:pPr>
        <w:pStyle w:val="Normal"/>
        <w:rPr/>
      </w:pPr>
      <w:r>
        <w:rPr/>
      </w:r>
      <w:bookmarkStart w:id="82" w:name="X6b26a8375254fc4564533c6c3d12e0b5fffed05"/>
      <w:bookmarkStart w:id="83" w:name="matrice-ruoli-operazioni-as-is"/>
      <w:bookmarkStart w:id="84" w:name="confini-del-documento-1"/>
      <w:bookmarkStart w:id="85" w:name="X6b26a8375254fc4564533c6c3d12e0b5fffed05"/>
      <w:bookmarkStart w:id="86" w:name="matrice-ruoli-operazioni-as-is"/>
      <w:bookmarkStart w:id="87" w:name="confini-del-documento-1"/>
      <w:bookmarkEnd w:id="85"/>
      <w:bookmarkEnd w:id="86"/>
      <w:bookmarkEnd w:id="87"/>
      <w:r>
        <w:br w:type="page"/>
      </w:r>
    </w:p>
    <w:p>
      <w:pPr>
        <w:pStyle w:val="Heading1"/>
        <w:spacing w:before="0" w:after="120"/>
        <w:rPr/>
      </w:pPr>
      <w:bookmarkStart w:id="88" w:name="__RefHeading___Toc7608_3672760668"/>
      <w:bookmarkStart w:id="89" w:name="appendice-b-progettazione-to-be"/>
      <w:bookmarkEnd w:id="88"/>
      <w:bookmarkEnd w:id="89"/>
      <w:r>
        <w:rPr/>
        <w:t>Appendice B — Progettazione TO-BE</w:t>
      </w:r>
    </w:p>
    <w:p>
      <w:pPr>
        <w:pStyle w:val="Heading2"/>
        <w:rPr/>
      </w:pPr>
      <w:bookmarkStart w:id="90" w:name="__RefHeading___Toc7610_3672760668"/>
      <w:bookmarkStart w:id="91" w:name="Xd6a0c6f01f596988a6401a90c655cfdd37ac9a6"/>
      <w:bookmarkEnd w:id="90"/>
      <w:r>
        <w:rPr/>
        <w:t>Componenti del sottosistema prenotazione — TO-BE</w:t>
      </w:r>
    </w:p>
    <w:p>
      <w:pPr>
        <w:pStyle w:val="Heading3"/>
        <w:rPr/>
      </w:pPr>
      <w:bookmarkStart w:id="92" w:name="scopo-e-riferimenti"/>
      <w:r>
        <w:rPr/>
        <w:t>Scopo e riferimenti</w:t>
      </w:r>
    </w:p>
    <w:p>
      <w:pPr>
        <w:pStyle w:val="FirstParagraph"/>
        <w:rPr/>
      </w:pPr>
      <w:r>
        <w:rPr/>
        <w:t xml:space="preserve">Questa vista descrive l’architettura effettiva dopo CR-BF-01, verificata sul codice candidato alla consegna del 2026-10-13, basato su </w:t>
      </w:r>
      <w:r>
        <w:rPr>
          <w:rStyle w:val="VerbatimChar"/>
        </w:rPr>
        <w:t>main</w:t>
      </w:r>
      <w:r>
        <w:rPr/>
        <w:t xml:space="preserve"> alla baseline </w:t>
      </w:r>
      <w:r>
        <w:rPr>
          <w:rStyle w:val="VerbatimChar"/>
        </w:rPr>
        <w:t>59a0d54</w:t>
      </w:r>
      <w:r>
        <w:rPr/>
        <w:t xml:space="preserve"> e sull’integrazione delle PR #82/#83. Completa, senza sostituirla, l’analisi AS-IS dei componenti.</w:t>
      </w:r>
    </w:p>
    <w:p>
      <w:pPr>
        <w:pStyle w:val="Compact"/>
        <w:numPr>
          <w:ilvl w:val="0"/>
          <w:numId w:val="98"/>
        </w:numPr>
        <w:rPr/>
      </w:pPr>
      <w:r>
        <w:rPr/>
        <w:t xml:space="preserve">Task: </w:t>
      </w:r>
      <w:hyperlink r:id="rId10">
        <w:r>
          <w:rPr>
            <w:rStyle w:val="Hyperlink"/>
          </w:rPr>
          <w:t>BIB-64</w:t>
        </w:r>
      </w:hyperlink>
    </w:p>
    <w:p>
      <w:pPr>
        <w:pStyle w:val="Compact"/>
        <w:numPr>
          <w:ilvl w:val="0"/>
          <w:numId w:val="99"/>
        </w:numPr>
        <w:rPr/>
      </w:pPr>
      <w:r>
        <w:rPr/>
        <w:t xml:space="preserve">Prerequisito: documenti e verifiche di Fase 6 integrati in </w:t>
      </w:r>
      <w:r>
        <w:rPr>
          <w:rStyle w:val="VerbatimChar"/>
        </w:rPr>
        <w:t>main</w:t>
      </w:r>
    </w:p>
    <w:p>
      <w:pPr>
        <w:pStyle w:val="Compact"/>
        <w:numPr>
          <w:ilvl w:val="0"/>
          <w:numId w:val="100"/>
        </w:numPr>
        <w:rPr/>
      </w:pPr>
      <w:r>
        <w:rPr/>
        <w:t>Vista complementare: stati TO-BE</w:t>
      </w:r>
    </w:p>
    <w:p>
      <w:pPr>
        <w:pStyle w:val="Compact"/>
        <w:numPr>
          <w:ilvl w:val="0"/>
          <w:numId w:val="101"/>
        </w:numPr>
        <w:rPr/>
      </w:pPr>
      <w:bookmarkStart w:id="93" w:name="scopo-e-riferimenti"/>
      <w:r>
        <w:rPr/>
        <w:t>Confronto sintetico: AS-IS / TO-BE</w:t>
      </w:r>
      <w:bookmarkEnd w:id="93"/>
    </w:p>
    <w:p>
      <w:pPr>
        <w:pStyle w:val="Heading3"/>
        <w:rPr/>
      </w:pPr>
      <w:bookmarkStart w:id="94" w:name="diagramma-dei-componenti-1"/>
      <w:r>
        <w:rPr/>
        <w:t>Diagramma dei componenti</w:t>
      </w:r>
    </w:p>
    <w:p>
      <w:pPr>
        <w:pStyle w:val="FirstParagraph"/>
        <w:jc w:val="center"/>
        <w:rPr/>
      </w:pPr>
      <w:bookmarkStart w:id="95" w:name="diagramma-dei-componenti-1"/>
      <w:r>
        <w:rPr/>
        <w:drawing>
          <wp:inline distT="0" distB="0" distL="0" distR="0">
            <wp:extent cx="5760085" cy="462851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5"/>
    </w:p>
    <w:p>
      <w:pPr>
        <w:pStyle w:val="Heading3"/>
        <w:rPr/>
      </w:pPr>
      <w:r>
        <w:rPr/>
        <w:t>Responsabilità consolidate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37"/>
        <w:gridCol w:w="3137"/>
        <w:gridCol w:w="3138"/>
      </w:tblGrid>
      <w:tr>
        <w:trPr>
          <w:tblHeader w:val="true"/>
        </w:trPr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Componente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Responsabilità TO-BE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Garanzia principale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src/lib/auth.ts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Identità, ruolo e ownership derivati dalla sessione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CA-01; niente identità autorevole dal payload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src/lib/prenotazioni-service.ts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Intervalli, conflitti, transazioni, coda FIFO e promozione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CA-02, CA-03 e CA-04 in un solo dominio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Prenotazione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+ migrazione SQL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Persistenza delle prenotazioni attive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Exclusion constraint su posto/data/intervallo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ListaAttesa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Richiesta distinta dalla prenotazione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Unicità parziale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IN_ATTESA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ordine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createdAt, id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Route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/api/prenotazioni/coda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Ingresso, elenco con posizione e annullamento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Operazioni autenticate e ownership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automation-service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No-show, scadenza delle promozioni e nuova promozione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Effetti idempotenti e audit correlato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Route cron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Serializzazione dei run tramite advisory lock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Nessuna doppia elaborazione concorrente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Notifiche persistenti + polling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Aggiornamento personale e badge ogni 60 secondi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Nessuna connessione SSE in-memory su istanze serverless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Notifiche 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LogEvento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Tracciabilità di ingresso, promozione, scadenza e annullamento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CA-05 e correlazione delle catene automatiche</w:t>
            </w:r>
            <w:bookmarkStart w:id="96" w:name="responsabilità-consolidate"/>
            <w:bookmarkEnd w:id="96"/>
          </w:p>
        </w:tc>
      </w:tr>
    </w:tbl>
    <w:p>
      <w:pPr>
        <w:pStyle w:val="Heading3"/>
        <w:rPr/>
      </w:pPr>
      <w:r>
        <w:rPr/>
        <w:t>Flussi principali</w:t>
      </w:r>
    </w:p>
    <w:p>
      <w:pPr>
        <w:pStyle w:val="Compact"/>
        <w:numPr>
          <w:ilvl w:val="0"/>
          <w:numId w:val="102"/>
        </w:numPr>
        <w:rPr/>
      </w:pPr>
      <w:r>
        <w:rPr/>
        <w:t>La route di creazione ricava l’utente dalla sessione e delega la scrittura atomica al servizio di dominio; il vincolo PostgreSQL resta l’ultima difesa.</w:t>
      </w:r>
    </w:p>
    <w:p>
      <w:pPr>
        <w:pStyle w:val="Compact"/>
        <w:numPr>
          <w:ilvl w:val="0"/>
          <w:numId w:val="103"/>
        </w:numPr>
        <w:rPr/>
      </w:pPr>
      <w:r>
        <w:rPr/>
        <w:t xml:space="preserve">In caso di intervallo occupato, la UI propone la coda e la route dedicata crea una </w:t>
      </w:r>
      <w:r>
        <w:rPr>
          <w:rStyle w:val="VerbatimChar"/>
        </w:rPr>
        <w:t>ListaAttesa</w:t>
      </w:r>
      <w:r>
        <w:rPr/>
        <w:t xml:space="preserve"> </w:t>
      </w:r>
      <w:r>
        <w:rPr>
          <w:rStyle w:val="VerbatimChar"/>
        </w:rPr>
        <w:t>IN_ATTESA</w:t>
      </w:r>
      <w:r>
        <w:rPr/>
        <w:t>, con posizione FIFO calcolata dal dominio.</w:t>
      </w:r>
    </w:p>
    <w:p>
      <w:pPr>
        <w:pStyle w:val="Compact"/>
        <w:numPr>
          <w:ilvl w:val="0"/>
          <w:numId w:val="104"/>
        </w:numPr>
        <w:rPr/>
      </w:pPr>
      <w:r>
        <w:rPr/>
        <w:t xml:space="preserve">Cancellazione del personale o no-show liberano lo slot e invocano la stessa funzione </w:t>
      </w:r>
      <w:r>
        <w:rPr>
          <w:rStyle w:val="VerbatimChar"/>
        </w:rPr>
        <w:t>promuoviPrimoInCoda</w:t>
      </w:r>
      <w:r>
        <w:rPr/>
        <w:t xml:space="preserve">; la promozione crea una </w:t>
      </w:r>
      <w:r>
        <w:rPr>
          <w:rStyle w:val="VerbatimChar"/>
        </w:rPr>
        <w:t>Prenotazione</w:t>
      </w:r>
      <w:r>
        <w:rPr/>
        <w:t xml:space="preserve">, aggiorna la richiesta e registra </w:t>
      </w:r>
      <w:r>
        <w:rPr>
          <w:rStyle w:val="VerbatimChar"/>
        </w:rPr>
        <w:t>CODA_PROMOZIONE</w:t>
      </w:r>
      <w:r>
        <w:rPr/>
        <w:t xml:space="preserve"> nella medesima transazione.</w:t>
      </w:r>
    </w:p>
    <w:p>
      <w:pPr>
        <w:pStyle w:val="Compact"/>
        <w:numPr>
          <w:ilvl w:val="0"/>
          <w:numId w:val="105"/>
        </w:numPr>
        <w:rPr/>
      </w:pPr>
      <w:r>
        <w:rPr/>
        <w:t>Una promozione non confermata tramite check-in scade; automazione, notifica, audit e promozione del successivo chiudono il ciclo della coda.</w:t>
      </w:r>
    </w:p>
    <w:p>
      <w:pPr>
        <w:pStyle w:val="Compact"/>
        <w:numPr>
          <w:ilvl w:val="0"/>
          <w:numId w:val="106"/>
        </w:numPr>
        <w:rPr/>
      </w:pPr>
      <w:r>
        <w:rPr/>
        <w:t>La UI rilegge disponibilità e notifiche tramite API autenticate; i dettagli personali restano nelle notifiche persistenti del solo destinatario.</w:t>
      </w:r>
    </w:p>
    <w:p>
      <w:pPr>
        <w:pStyle w:val="Heading3"/>
        <w:rPr/>
      </w:pPr>
      <w:bookmarkStart w:id="97" w:name="confini"/>
      <w:r>
        <w:rPr/>
        <w:t>Confini</w:t>
      </w:r>
    </w:p>
    <w:p>
      <w:pPr>
        <w:pStyle w:val="FirstParagraph"/>
        <w:rPr/>
      </w:pPr>
      <w:r>
        <w:rPr/>
        <w:t xml:space="preserve">Il diagramma rappresenta dipendenze presenti nel codice finale. Non attribuisce a </w:t>
      </w:r>
      <w:r>
        <w:rPr>
          <w:rStyle w:val="VerbatimChar"/>
        </w:rPr>
        <w:t>ListaAttesa</w:t>
      </w:r>
      <w:r>
        <w:rPr/>
        <w:t xml:space="preserve"> lo stato di una prenotazione: le due entità mantengono cicli di vita separati e vengono correlate dall’audit </w:t>
      </w:r>
      <w:r>
        <w:rPr>
          <w:rStyle w:val="VerbatimChar"/>
        </w:rPr>
        <w:t>CODA_PROMOZIONE</w:t>
      </w:r>
      <w:r>
        <w:rPr/>
        <w:t>.</w:t>
      </w:r>
      <w:bookmarkEnd w:id="91"/>
      <w:bookmarkEnd w:id="97"/>
    </w:p>
    <w:p>
      <w:pPr>
        <w:pStyle w:val="Heading2"/>
        <w:rPr/>
      </w:pPr>
      <w:bookmarkStart w:id="98" w:name="__RefHeading___Toc7612_3672760668"/>
      <w:bookmarkStart w:id="99" w:name="X2850bc93332866d7b33826adee665ca4a2d23cd"/>
      <w:bookmarkEnd w:id="98"/>
      <w:r>
        <w:rPr/>
        <w:t>Stati di prenotazione e lista d’attesa — TO-BE</w:t>
      </w:r>
    </w:p>
    <w:p>
      <w:pPr>
        <w:pStyle w:val="Heading3"/>
        <w:rPr/>
      </w:pPr>
      <w:bookmarkStart w:id="100" w:name="scopo-e-convenzioni"/>
      <w:r>
        <w:rPr/>
        <w:t>Scopo e convenzioni</w:t>
      </w:r>
    </w:p>
    <w:p>
      <w:pPr>
        <w:pStyle w:val="FirstParagraph"/>
        <w:rPr/>
      </w:pPr>
      <w:r>
        <w:rPr/>
        <w:t xml:space="preserve">Il TO-BE distingue le due entità persistenti introdotte o modificate dalla CR-BF-01. </w:t>
      </w:r>
      <w:r>
        <w:rPr>
          <w:rStyle w:val="VerbatimChar"/>
        </w:rPr>
        <w:t>ListaAttesa</w:t>
      </w:r>
      <w:r>
        <w:rPr/>
        <w:t xml:space="preserve"> non è uno stato di </w:t>
      </w:r>
      <w:r>
        <w:rPr>
          <w:rStyle w:val="VerbatimChar"/>
        </w:rPr>
        <w:t>Prenotazione</w:t>
      </w:r>
      <w:r>
        <w:rPr/>
        <w:t>: una prenotazione nasce solo dalla creazione diretta riuscita o da una promozione FIFO.</w:t>
      </w:r>
    </w:p>
    <w:p>
      <w:pPr>
        <w:pStyle w:val="Compact"/>
        <w:numPr>
          <w:ilvl w:val="0"/>
          <w:numId w:val="107"/>
        </w:numPr>
        <w:rPr/>
      </w:pPr>
      <w:r>
        <w:rPr/>
        <w:t>Analisi precedente: stati Prenotazione AS-IS</w:t>
      </w:r>
    </w:p>
    <w:p>
      <w:pPr>
        <w:pStyle w:val="Compact"/>
        <w:numPr>
          <w:ilvl w:val="0"/>
          <w:numId w:val="108"/>
        </w:numPr>
        <w:rPr/>
      </w:pPr>
      <w:r>
        <w:rPr/>
        <w:t>Architettura aggiornata: componenti TO-BE</w:t>
      </w:r>
    </w:p>
    <w:p>
      <w:pPr>
        <w:pStyle w:val="Compact"/>
        <w:numPr>
          <w:ilvl w:val="0"/>
          <w:numId w:val="109"/>
        </w:numPr>
        <w:rPr/>
      </w:pPr>
      <w:bookmarkStart w:id="101" w:name="scopo-e-convenzioni"/>
      <w:r>
        <w:rPr/>
        <w:t>Confronto: AS-IS / TO-BE</w:t>
      </w:r>
      <w:bookmarkEnd w:id="101"/>
    </w:p>
    <w:p>
      <w:pPr>
        <w:pStyle w:val="Heading3"/>
        <w:rPr/>
      </w:pPr>
      <w:bookmarkStart w:id="102" w:name="ciclo-della-prenotazione"/>
      <w:r>
        <w:rPr/>
        <w:t>Ciclo della prenotazione</w:t>
      </w:r>
    </w:p>
    <w:p>
      <w:pPr>
        <w:pStyle w:val="FirstParagraph"/>
        <w:jc w:val="center"/>
        <w:rPr/>
      </w:pPr>
      <w:bookmarkStart w:id="103" w:name="ciclo-della-prenotazione"/>
      <w:r>
        <w:rPr/>
        <w:drawing>
          <wp:inline distT="0" distB="0" distL="0" distR="0">
            <wp:extent cx="5760085" cy="176339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3"/>
    </w:p>
    <w:p>
      <w:pPr>
        <w:pStyle w:val="Heading3"/>
        <w:rPr/>
      </w:pPr>
      <w:bookmarkStart w:id="104" w:name="ciclo-della-lista-dattesa"/>
      <w:r>
        <w:rPr/>
        <w:t>Ciclo della lista d’attesa</w:t>
      </w:r>
    </w:p>
    <w:p>
      <w:pPr>
        <w:pStyle w:val="FirstParagraph"/>
        <w:jc w:val="center"/>
        <w:rPr/>
      </w:pPr>
      <w:bookmarkStart w:id="105" w:name="ciclo-della-lista-dattesa"/>
      <w:r>
        <w:rPr/>
        <w:drawing>
          <wp:inline distT="0" distB="0" distL="0" distR="0">
            <wp:extent cx="5760085" cy="141033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5"/>
    </w:p>
    <w:p>
      <w:pPr>
        <w:pStyle w:val="Heading3"/>
        <w:rPr/>
      </w:pPr>
      <w:bookmarkStart w:id="106" w:name="coordinamento-fra-i-due-cicli"/>
      <w:r>
        <w:rPr/>
        <w:t>Coordinamento fra i due cicli</w:t>
      </w:r>
    </w:p>
    <w:p>
      <w:pPr>
        <w:pStyle w:val="FirstParagraph"/>
        <w:jc w:val="center"/>
        <w:rPr/>
      </w:pPr>
      <w:bookmarkStart w:id="107" w:name="coordinamento-fra-i-due-cicli"/>
      <w:r>
        <w:rPr/>
        <w:drawing>
          <wp:inline distT="0" distB="0" distL="0" distR="0">
            <wp:extent cx="5760085" cy="330009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7"/>
    </w:p>
    <w:p>
      <w:pPr>
        <w:pStyle w:val="Heading3"/>
        <w:rPr/>
      </w:pPr>
      <w:bookmarkStart w:id="108" w:name="transizioni-e-garanzie"/>
      <w:r>
        <w:rPr/>
        <w:t>Transizioni e garanzie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82"/>
        <w:gridCol w:w="1882"/>
        <w:gridCol w:w="1883"/>
        <w:gridCol w:w="1882"/>
        <w:gridCol w:w="1883"/>
      </w:tblGrid>
      <w:tr>
        <w:trPr>
          <w:tblHeader w:val="true"/>
        </w:trPr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Entità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Da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Innesco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Effetti osservabili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ListaAttesa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nuovo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IN_ATTESA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ingresso autenticato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CODA_INGRESSO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, notifica, posizione FIFO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ListaAttesa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IN_ATTESA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ANNULLATA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proprietario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CODA_ANNULLATA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ListaAttesa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IN_ATTESA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PROMOSSA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cancellazione, no-show o scadenza precedente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nuova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Prenotazione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CODA_PROMOZIONE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, notifica persistente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ListaAttesa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PROMOSSA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SCADUTA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nessun check-in entro la finestra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CODA_SCADENZA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, rilascio e tentativo sul successivo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Prenotazione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nuovo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CONFERMATA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creazione o promozione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transazione Serializable e vincolo DB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Prenotazione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CONFERMATA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CHECK_IN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utente autorizzato/personale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posto occupato e audit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Prenotazione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CHECK_IN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COMPLETATA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check-out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chiusura ordinaria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Prenotazione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attiva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CANCELLATA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utente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chiusura; rilascio del posto se era in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CHECK_IN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Prenotazione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attiva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CANCELLATA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personale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rilascio e possibile promozione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Prenotazione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CONFERMATA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NO_SHOW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cron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rilascio e possibile promozione</w:t>
            </w:r>
          </w:p>
        </w:tc>
      </w:tr>
      <w:tr>
        <w:trPr/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Prenotazione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CONFERMATA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promossa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SCADUTA</w:t>
            </w:r>
          </w:p>
        </w:tc>
        <w:tc>
          <w:tcPr>
            <w:tcW w:w="188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mancata conferma</w:t>
            </w:r>
          </w:p>
        </w:tc>
        <w:tc>
          <w:tcPr>
            <w:tcW w:w="18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rilascio e possibile promozione successiva</w:t>
            </w:r>
          </w:p>
        </w:tc>
      </w:tr>
    </w:tbl>
    <w:p>
      <w:pPr>
        <w:pStyle w:val="BodyText"/>
        <w:rPr/>
      </w:pPr>
      <w:bookmarkStart w:id="109" w:name="X2850bc93332866d7b33826adee665ca4a2d23cd"/>
      <w:bookmarkStart w:id="110" w:name="transizioni-e-garanzie"/>
      <w:r>
        <w:rPr/>
        <w:t>Le transizioni automatiche usano guardie sullo stato atteso e transazioni Serializable. Un secondo run non ripete gli effetti già persistiti; il vincolo di esclusione impedisce comunque due prenotazioni attive sovrapposte.</w:t>
      </w:r>
      <w:bookmarkEnd w:id="109"/>
      <w:bookmarkEnd w:id="110"/>
    </w:p>
    <w:p>
      <w:pPr>
        <w:pStyle w:val="Heading2"/>
        <w:rPr/>
      </w:pPr>
      <w:bookmarkStart w:id="111" w:name="__RefHeading___Toc7614_3672760668"/>
      <w:bookmarkStart w:id="112" w:name="X5a14547f53ee4b9de1bdbf19b5a613b8dbcf22b"/>
      <w:bookmarkEnd w:id="111"/>
      <w:bookmarkEnd w:id="112"/>
      <w:r>
        <w:rPr/>
        <w:t>Sottosistema prenotazioni — confronto AS-IS / TO-BE</w:t>
      </w:r>
    </w:p>
    <w:p>
      <w:pPr>
        <w:pStyle w:val="Heading3"/>
        <w:rPr/>
      </w:pPr>
      <w:bookmarkStart w:id="113" w:name="vista-affiancata"/>
      <w:r>
        <w:rPr/>
        <w:t>Vista affiancata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37"/>
        <w:gridCol w:w="3137"/>
        <w:gridCol w:w="3138"/>
      </w:tblGrid>
      <w:tr>
        <w:trPr>
          <w:tblHeader w:val="true"/>
        </w:trPr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Prospettiva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AS-IS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TO-BE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Componenti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Diagramma componenti AS-IS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Diagramma componenti TO-BE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Stati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Diagramma stati AS-IS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Diagramma stati TO-BE</w:t>
            </w:r>
          </w:p>
        </w:tc>
      </w:tr>
      <w:tr>
        <w:trPr/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Baseline</w:t>
            </w:r>
          </w:p>
        </w:tc>
        <w:tc>
          <w:tcPr>
            <w:tcW w:w="31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tag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baseline-pre-cr-bf-01</w:t>
            </w:r>
          </w:p>
        </w:tc>
        <w:tc>
          <w:tcPr>
            <w:tcW w:w="313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candidata alla consegna del 2026-10-13, basata su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main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@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59a0d54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sulle PR #82/#83</w:t>
            </w:r>
          </w:p>
        </w:tc>
      </w:tr>
    </w:tbl>
    <w:p>
      <w:pPr>
        <w:pStyle w:val="BodyText"/>
        <w:rPr/>
      </w:pPr>
      <w:bookmarkStart w:id="114" w:name="vista-affiancata"/>
      <w:r>
        <w:rPr/>
        <w:t>I diagrammi AS-IS restano immutati come fotografia della baseline. I documenti TO-BE rappresentano invece le dipendenze e le transizioni osservabili nel codice finale; questa pagina li mette in relazione senza duplicarne il dettaglio.</w:t>
      </w:r>
      <w:bookmarkEnd w:id="114"/>
    </w:p>
    <w:p>
      <w:pPr>
        <w:pStyle w:val="Heading3"/>
        <w:rPr/>
      </w:pPr>
      <w:r>
        <w:rPr/>
        <w:t>Differenze architetturali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52"/>
        <w:gridCol w:w="2353"/>
        <w:gridCol w:w="2353"/>
        <w:gridCol w:w="2353"/>
      </w:tblGrid>
      <w:tr>
        <w:trPr>
          <w:tblHeader w:val="true"/>
        </w:trPr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Area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AS-IS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TO-BE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Evidenza finale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Identità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Alcune route si fidano del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userId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client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Identità e ownership dalla sessione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requireUser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requireRole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assertOwnership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Validazione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Regole replicate nelle route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Regole centralizzate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src/lib/prenotazioni-service.ts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Atomicità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Verifica e inserimento separati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Transazione Serializable più vincolo DB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creaPrenotazioneAtomica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e migrazione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EXCLUDE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Coda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Entità e API assenti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ListaAttesa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, API dedicata, unicità e FIFO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schema,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/api/prenotazioni/coda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Promozione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Nessuna riassegnazione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Un solo servizio idempotente condiviso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promuoviPrimoInCoda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Cancellazione personale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Libera il posto soltanto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Libera e tenta la promozione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route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/api/admin/prenotazioni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No-show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Libera il posto soltanto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Libera, promuove e traccia la catena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automation-service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Scadenza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Prenotazione.SCADUTA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non raggiungibile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Promozione non confermata → scadenza e nuovo tentativo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scadiPromozioniNonConfermate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Cron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Run periodici senza coordinamento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Advisory lock e operazioni idempotenti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route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/api/cron/automations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Audit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Eventi generici e non correlati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Eventi coda, attore e correlation ID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LogEvento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eventi-coda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Aggiornamento client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Helper SSE scollegati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Notifiche persistenti e polling leggero del badge; disponibilità riletta su data/fascia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Notifica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, header,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/api/posti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UI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Nessuna alternativa al conflitto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Ingresso/uscita coda e posizione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mappa, griglia mobile, pagina prenota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Statistiche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Ignorano la coda perché inesistente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Separano tempi e conversioni della coda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API e pagina statistiche</w:t>
            </w:r>
            <w:bookmarkStart w:id="115" w:name="differenze-architetturali"/>
            <w:bookmarkEnd w:id="115"/>
          </w:p>
        </w:tc>
      </w:tr>
    </w:tbl>
    <w:p>
      <w:pPr>
        <w:pStyle w:val="Heading3"/>
        <w:rPr/>
      </w:pPr>
      <w:r>
        <w:rPr/>
        <w:t>Evoluzione del flusso principale</w:t>
      </w:r>
    </w:p>
    <w:p>
      <w:pPr>
        <w:pStyle w:val="FirstParagraph"/>
        <w:jc w:val="center"/>
        <w:rPr/>
      </w:pPr>
      <w:r>
        <w:rPr/>
        <w:drawing>
          <wp:inline distT="0" distB="0" distL="0" distR="0">
            <wp:extent cx="5760085" cy="347662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16" w:name="ripple-effect-chiusi"/>
      <w:r>
        <w:rPr/>
        <w:t>Ripple effect chiusi</w:t>
      </w:r>
    </w:p>
    <w:p>
      <w:pPr>
        <w:pStyle w:val="Compact"/>
        <w:numPr>
          <w:ilvl w:val="0"/>
          <w:numId w:val="110"/>
        </w:numPr>
        <w:rPr/>
      </w:pPr>
      <w:r>
        <w:rPr/>
        <w:t>Creazione, estensione e controllo conflitti condividono la semantica degli intervalli; il database impedisce sovrapposizioni anche in concorrenza.</w:t>
      </w:r>
    </w:p>
    <w:p>
      <w:pPr>
        <w:pStyle w:val="Compact"/>
        <w:numPr>
          <w:ilvl w:val="0"/>
          <w:numId w:val="111"/>
        </w:numPr>
        <w:rPr/>
      </w:pPr>
      <w:r>
        <w:rPr/>
        <w:t>Check-in e ownership non accettano richieste in coda come prenotazioni.</w:t>
      </w:r>
    </w:p>
    <w:p>
      <w:pPr>
        <w:pStyle w:val="Compact"/>
        <w:numPr>
          <w:ilvl w:val="0"/>
          <w:numId w:val="112"/>
        </w:numPr>
        <w:rPr/>
      </w:pPr>
      <w:r>
        <w:rPr/>
        <w:t>Cancellazione del personale, no-show e scadenza convergono sulla stessa promozione, senza duplicarne l’algoritmo FIFO.</w:t>
      </w:r>
    </w:p>
    <w:p>
      <w:pPr>
        <w:pStyle w:val="Compact"/>
        <w:numPr>
          <w:ilvl w:val="0"/>
          <w:numId w:val="113"/>
        </w:numPr>
        <w:rPr/>
      </w:pPr>
      <w:r>
        <w:rPr/>
        <w:t>Cron e transizioni usano lock o guardie di stato per non duplicare promozioni, notifiche e log.</w:t>
      </w:r>
    </w:p>
    <w:p>
      <w:pPr>
        <w:pStyle w:val="Compact"/>
        <w:numPr>
          <w:ilvl w:val="0"/>
          <w:numId w:val="114"/>
        </w:numPr>
        <w:rPr/>
      </w:pPr>
      <w:r>
        <w:rPr/>
        <w:t>Le notifiche della coda sono persistenti e collegate alla prenotazione; il badge le rileva tramite polling senza mantenere connessioni SSE serverless.</w:t>
      </w:r>
    </w:p>
    <w:p>
      <w:pPr>
        <w:pStyle w:val="Compact"/>
        <w:numPr>
          <w:ilvl w:val="0"/>
          <w:numId w:val="115"/>
        </w:numPr>
        <w:rPr/>
      </w:pPr>
      <w:bookmarkStart w:id="117" w:name="ripple-effect-chiusi"/>
      <w:r>
        <w:rPr/>
        <w:t>Le statistiche distinguono gli eventi della coda dai conteggi storici.</w:t>
      </w:r>
      <w:bookmarkEnd w:id="117"/>
    </w:p>
    <w:p>
      <w:pPr>
        <w:pStyle w:val="Heading3"/>
        <w:rPr/>
      </w:pPr>
      <w:bookmarkStart w:id="118" w:name="evidenza-di-verifica"/>
      <w:bookmarkEnd w:id="118"/>
      <w:r>
        <w:rPr/>
        <w:t>Evidenza di verifica</w:t>
      </w:r>
    </w:p>
    <w:p>
      <w:pPr>
        <w:pStyle w:val="FirstParagraph"/>
        <w:rPr/>
      </w:pPr>
      <w:r>
        <w:rPr/>
        <w:t>La coerenza del TO-BE è supportata dai documenti di Fase 6:</w:t>
      </w:r>
    </w:p>
    <w:p>
      <w:pPr>
        <w:pStyle w:val="Compact"/>
        <w:numPr>
          <w:ilvl w:val="0"/>
          <w:numId w:val="116"/>
        </w:numPr>
        <w:rPr/>
      </w:pPr>
      <w:r>
        <w:rPr/>
        <w:t>specifica dei test post-modifica;</w:t>
      </w:r>
    </w:p>
    <w:p>
      <w:pPr>
        <w:pStyle w:val="Compact"/>
        <w:numPr>
          <w:ilvl w:val="0"/>
          <w:numId w:val="117"/>
        </w:numPr>
        <w:rPr/>
      </w:pPr>
      <w:r>
        <w:rPr/>
        <w:t>report delle parti modificate;</w:t>
      </w:r>
    </w:p>
    <w:p>
      <w:pPr>
        <w:pStyle w:val="Compact"/>
        <w:numPr>
          <w:ilvl w:val="0"/>
          <w:numId w:val="118"/>
        </w:numPr>
        <w:rPr/>
      </w:pPr>
      <w:r>
        <w:rPr/>
        <w:t>report di regressione;</w:t>
      </w:r>
    </w:p>
    <w:p>
      <w:pPr>
        <w:pStyle w:val="Compact"/>
        <w:numPr>
          <w:ilvl w:val="0"/>
          <w:numId w:val="119"/>
        </w:numPr>
        <w:rPr/>
      </w:pPr>
      <w:r>
        <w:rPr/>
        <w:t>verifica finale dei criteri.</w:t>
      </w:r>
    </w:p>
    <w:p>
      <w:pPr>
        <w:pStyle w:val="FirstParagraph"/>
        <w:rPr/>
      </w:pPr>
      <w:r>
        <w:rPr/>
        <w:t>Questi report costituiscono l’evidenza eseguibile; i diagrammi ne rappresentano la struttura e non introducono nuovi requisiti o comportamenti.</w:t>
      </w:r>
    </w:p>
    <w:p>
      <w:pPr>
        <w:pStyle w:val="Normal"/>
        <w:rPr/>
      </w:pPr>
      <w:r>
        <w:rPr/>
      </w:r>
      <w:bookmarkStart w:id="119" w:name="appendice-b-progettazione-to-be"/>
      <w:bookmarkStart w:id="120" w:name="X5a14547f53ee4b9de1bdbf19b5a613b8dbcf22b"/>
      <w:bookmarkStart w:id="121" w:name="evidenza-di-verifica"/>
      <w:bookmarkStart w:id="122" w:name="appendice-b-progettazione-to-be"/>
      <w:bookmarkStart w:id="123" w:name="X5a14547f53ee4b9de1bdbf19b5a613b8dbcf22b"/>
      <w:bookmarkStart w:id="124" w:name="evidenza-di-verifica"/>
      <w:bookmarkEnd w:id="122"/>
      <w:bookmarkEnd w:id="123"/>
      <w:bookmarkEnd w:id="124"/>
      <w:r>
        <w:br w:type="page"/>
      </w:r>
    </w:p>
    <w:p>
      <w:pPr>
        <w:pStyle w:val="Heading1"/>
        <w:spacing w:before="0" w:after="120"/>
        <w:rPr/>
      </w:pPr>
      <w:bookmarkStart w:id="125" w:name="__RefHeading___Toc7616_3672760668"/>
      <w:bookmarkEnd w:id="125"/>
      <w:r>
        <w:rPr/>
        <w:t>Appendice C — Verifica finale dei criteri di accettazione</w:t>
      </w:r>
    </w:p>
    <w:p>
      <w:pPr>
        <w:pStyle w:val="Heading2"/>
        <w:rPr/>
      </w:pPr>
      <w:bookmarkStart w:id="126" w:name="__RefHeading___Toc7618_3672760668"/>
      <w:bookmarkEnd w:id="126"/>
      <w:r>
        <w:rPr/>
        <w:t>Verifica finale dei criteri di accettazione — CR-BF-01</w:t>
      </w:r>
    </w:p>
    <w:p>
      <w:pPr>
        <w:pStyle w:val="Heading3"/>
        <w:rPr/>
      </w:pPr>
      <w:r>
        <w:rPr/>
        <w:t>Identificazione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705"/>
        <w:gridCol w:w="4706"/>
      </w:tblGrid>
      <w:tr>
        <w:trPr>
          <w:tblHeader w:val="true"/>
        </w:trPr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Campo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Valore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Task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BIB-63 — Verifica finale dei criteri di accettazione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Fase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6 — test post-modifica e regressione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Versione verificata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main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adc5e30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) dopo il merge delle Fasi 4 e 5; aggiornamento CA-01 su branch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cr-bf-01-fix-bib-68-ca-01-admin-auth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(BIB-68)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Data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2026-09-04 CEST (prima verifica) — aggiornato 2026-09-04 CEST dopo BIB-68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Ambiente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Node.js 22.12.0, npm 10.9.0, Docker, PostgreSQL 16 Alpine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Esito complessivo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CONFORME — 6 criteri verificati su 6</w:t>
            </w:r>
            <w:bookmarkStart w:id="127" w:name="identificazione-1"/>
            <w:bookmarkEnd w:id="127"/>
          </w:p>
        </w:tc>
      </w:tr>
    </w:tbl>
    <w:p>
      <w:pPr>
        <w:pStyle w:val="Heading3"/>
        <w:rPr/>
      </w:pPr>
      <w:r>
        <w:rPr/>
        <w:t>Decisione</w:t>
      </w:r>
    </w:p>
    <w:p>
      <w:pPr>
        <w:pStyle w:val="FirstParagraph"/>
        <w:rPr/>
      </w:pPr>
      <w:r>
        <w:rPr/>
        <w:t xml:space="preserve">La change request è </w:t>
      </w:r>
      <w:r>
        <w:rPr>
          <w:b/>
          <w:bCs/>
        </w:rPr>
        <w:t>accettabile</w:t>
      </w:r>
      <w:r>
        <w:rPr/>
        <w:t xml:space="preserve">: tutti e sei i criteri sono verificati con evidenza automatizzata. Alla prima verifica (2026-09-04) </w:t>
      </w:r>
      <w:r>
        <w:rPr>
          <w:b/>
          <w:bCs/>
        </w:rPr>
        <w:t>CA-01 non era soddisfatto</w:t>
      </w:r>
      <w:r>
        <w:rPr/>
        <w:t>: tre richieste verso route admin non applicavano il codice 401/403 previsto (</w:t>
      </w:r>
      <w:r>
        <w:rPr>
          <w:rStyle w:val="VerbatimChar"/>
        </w:rPr>
        <w:t>GET /api/admin/posti/[id]</w:t>
      </w:r>
      <w:r>
        <w:rPr/>
        <w:t xml:space="preserve">, </w:t>
      </w:r>
      <w:r>
        <w:rPr>
          <w:rStyle w:val="VerbatimChar"/>
        </w:rPr>
        <w:t>GET</w:t>
      </w:r>
      <w:r>
        <w:rPr/>
        <w:t>/</w:t>
      </w:r>
      <w:r>
        <w:rPr>
          <w:rStyle w:val="VerbatimChar"/>
        </w:rPr>
        <w:t>PATCH /api/admin/richieste</w:t>
      </w:r>
      <w:r>
        <w:rPr/>
        <w:t xml:space="preserve">). La task correttiva </w:t>
      </w:r>
      <w:r>
        <w:rPr>
          <w:b/>
          <w:bCs/>
        </w:rPr>
        <w:t>BIB-68</w:t>
      </w:r>
      <w:r>
        <w:rPr/>
        <w:t xml:space="preserve"> ha chiuso i tre varchi con guardia “sessione + ruolo staff” eseguita prima di leggere parametri/body o toccare Prisma, e ha promosso i target </w:t>
      </w:r>
      <w:r>
        <w:rPr>
          <w:rStyle w:val="VerbatimChar"/>
        </w:rPr>
        <w:t>TC-BIB57-051</w:t>
      </w:r>
      <w:r>
        <w:rPr/>
        <w:t>/</w:t>
      </w:r>
      <w:r>
        <w:rPr>
          <w:rStyle w:val="VerbatimChar"/>
        </w:rPr>
        <w:t>054</w:t>
      </w:r>
      <w:r>
        <w:rPr/>
        <w:t xml:space="preserve"> da </w:t>
      </w:r>
      <w:r>
        <w:rPr>
          <w:rStyle w:val="VerbatimChar"/>
        </w:rPr>
        <w:t>it.fails</w:t>
      </w:r>
      <w:r>
        <w:rPr/>
        <w:t xml:space="preserve"> a test ordinari verdi (più </w:t>
      </w:r>
      <w:r>
        <w:rPr>
          <w:rStyle w:val="VerbatimChar"/>
        </w:rPr>
        <w:t>TC-BIB57-050/052/053/055..060</w:t>
      </w:r>
      <w:r>
        <w:rPr/>
        <w:t xml:space="preserve"> a copertura del contratto 401/403/422). CA-02, CA-03, CA-04, CA-05 e CA-06 restano verificati come nella prima passata.</w:t>
      </w:r>
    </w:p>
    <w:p>
      <w:pPr>
        <w:pStyle w:val="BodyText"/>
        <w:rPr/>
      </w:pPr>
      <w:r>
        <w:rPr/>
        <w:t>Questo documento registra sia l’esito originale (sezione “Prima verifica — CA-01 non conforme”, conservata per tracciabilità) sia l’aggiornamento dopo BIB-68.</w:t>
      </w:r>
    </w:p>
    <w:p>
      <w:pPr>
        <w:pStyle w:val="Heading3"/>
        <w:rPr/>
      </w:pPr>
      <w:r>
        <w:rPr/>
        <w:t>Matrice finale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16"/>
        <w:gridCol w:w="3361"/>
        <w:gridCol w:w="2017"/>
        <w:gridCol w:w="2017"/>
      </w:tblGrid>
      <w:tr>
        <w:trPr>
          <w:tblHeader w:val="true"/>
        </w:trPr>
        <w:tc>
          <w:tcPr>
            <w:tcW w:w="201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Criterio</w:t>
            </w:r>
          </w:p>
        </w:tc>
        <w:tc>
          <w:tcPr>
            <w:tcW w:w="3361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Esito</w:t>
            </w:r>
          </w:p>
        </w:tc>
        <w:tc>
          <w:tcPr>
            <w:tcW w:w="201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Evidenza principale</w:t>
            </w:r>
          </w:p>
        </w:tc>
        <w:tc>
          <w:tcPr>
            <w:tcW w:w="201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Decisione</w:t>
            </w:r>
          </w:p>
        </w:tc>
      </w:tr>
      <w:tr>
        <w:trPr/>
        <w:tc>
          <w:tcPr>
            <w:tcW w:w="201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CA-01 — accesso</w:t>
            </w:r>
          </w:p>
        </w:tc>
        <w:tc>
          <w:tcPr>
            <w:tcW w:w="336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PASS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(dopo BIB-68)</w:t>
            </w:r>
          </w:p>
        </w:tc>
        <w:tc>
          <w:tcPr>
            <w:tcW w:w="201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tests/integration/autorizzazione-admin.test.ts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: 36/36 passati, 0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expected fail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TC-BIB57-050/051/052/053/054/055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provano la chiusura dei 3 varchi,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TC-BIB57-056/057/058/059/060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coprono staff/validazione</w:t>
            </w:r>
          </w:p>
        </w:tc>
        <w:tc>
          <w:tcPr>
            <w:tcW w:w="201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Verificato</w:t>
            </w:r>
          </w:p>
        </w:tc>
      </w:tr>
      <w:tr>
        <w:trPr/>
        <w:tc>
          <w:tcPr>
            <w:tcW w:w="201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CA-02 — concorrenza</w:t>
            </w:r>
          </w:p>
        </w:tc>
        <w:tc>
          <w:tcPr>
            <w:tcW w:w="336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01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suite PostgreSQL isolata ripetuta 5 volte: 10/10 casi passati</w:t>
            </w:r>
          </w:p>
        </w:tc>
        <w:tc>
          <w:tcPr>
            <w:tcW w:w="201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Verificato</w:t>
            </w:r>
          </w:p>
        </w:tc>
      </w:tr>
      <w:tr>
        <w:trPr/>
        <w:tc>
          <w:tcPr>
            <w:tcW w:w="201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CA-03 — lista d’attesa</w:t>
            </w:r>
          </w:p>
        </w:tc>
        <w:tc>
          <w:tcPr>
            <w:tcW w:w="336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01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vincolo DB, ordinamento FIFO/id, middleware e flussi UI nella selezione CA-03–05: 113/113</w:t>
            </w:r>
          </w:p>
        </w:tc>
        <w:tc>
          <w:tcPr>
            <w:tcW w:w="201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Verificato</w:t>
            </w:r>
          </w:p>
        </w:tc>
      </w:tr>
      <w:tr>
        <w:trPr/>
        <w:tc>
          <w:tcPr>
            <w:tcW w:w="201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CA-04 — riassegnazione</w:t>
            </w:r>
          </w:p>
        </w:tc>
        <w:tc>
          <w:tcPr>
            <w:tcW w:w="336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01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promozione, lock, idempotenza e ciclo end-to-end nella selezione CA-03–05: 113/113</w:t>
            </w:r>
          </w:p>
        </w:tc>
        <w:tc>
          <w:tcPr>
            <w:tcW w:w="201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Verificato</w:t>
            </w:r>
          </w:p>
        </w:tc>
      </w:tr>
      <w:tr>
        <w:trPr/>
        <w:tc>
          <w:tcPr>
            <w:tcW w:w="201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CA-05 — tracciabilità</w:t>
            </w:r>
          </w:p>
        </w:tc>
        <w:tc>
          <w:tcPr>
            <w:tcW w:w="336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01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log, notifiche, correlazione e realtime nella selezione CA-03–05: 113/113</w:t>
            </w:r>
          </w:p>
        </w:tc>
        <w:tc>
          <w:tcPr>
            <w:tcW w:w="201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Verificato</w:t>
            </w:r>
          </w:p>
        </w:tc>
      </w:tr>
      <w:tr>
        <w:trPr/>
        <w:tc>
          <w:tcPr>
            <w:tcW w:w="201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CA-06 — regressione</w:t>
            </w:r>
          </w:p>
        </w:tc>
        <w:tc>
          <w:tcPr>
            <w:tcW w:w="336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01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BIB-62: 20/20 casi invariati passati, identici alla baseline</w:t>
            </w:r>
          </w:p>
        </w:tc>
        <w:tc>
          <w:tcPr>
            <w:tcW w:w="201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Verificato</w:t>
            </w:r>
            <w:bookmarkStart w:id="128" w:name="matrice-finale"/>
            <w:bookmarkEnd w:id="128"/>
          </w:p>
        </w:tc>
      </w:tr>
    </w:tbl>
    <w:p>
      <w:pPr>
        <w:pStyle w:val="Heading3"/>
        <w:rPr/>
      </w:pPr>
      <w:r>
        <w:rPr/>
        <w:t>Gate tecnici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66"/>
        <w:gridCol w:w="4279"/>
        <w:gridCol w:w="2567"/>
      </w:tblGrid>
      <w:tr>
        <w:trPr>
          <w:tblHeader w:val="true"/>
        </w:trPr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Controllo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Esito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Dettaglio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npm run lint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0 errori, 24 warning preesistenti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npx tsc --noEmit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0 errori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npm test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(dopo BIB-68)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PASS pieno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21/21 file; </w:t>
            </w: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 xml:space="preserve">187 passati, 0 </w:t>
            </w:r>
            <w:r>
              <w:rPr>
                <w:rStyle w:val="VerbatimChar"/>
                <w:b/>
                <w:bCs/>
                <w:kern w:val="0"/>
                <w:sz w:val="17"/>
                <w:szCs w:val="24"/>
                <w:lang w:val="it-IT" w:eastAsia="en-US" w:bidi="ar-SA"/>
              </w:rPr>
              <w:t>expected fail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— i due target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it.fails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sono ora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it()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verdi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npm run build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Next.js 16; 43 pagine statiche; soli warning di deprecazione Sentry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npm audit --omit=dev --audit-level=high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PASS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0 vulnerabilità di produzione</w:t>
            </w:r>
          </w:p>
        </w:tc>
      </w:tr>
      <w:tr>
        <w:trPr/>
        <w:tc>
          <w:tcPr>
            <w:tcW w:w="256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npm audit --audit-level=high</w:t>
            </w:r>
          </w:p>
        </w:tc>
        <w:tc>
          <w:tcPr>
            <w:tcW w:w="427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WARN</w:t>
            </w:r>
          </w:p>
        </w:tc>
        <w:tc>
          <w:tcPr>
            <w:tcW w:w="256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5 voci high riconducibili a un solo advisory nella catena ESLint di sviluppo; il fix proposto richiede un downgrade incompatibile</w:t>
            </w:r>
          </w:p>
        </w:tc>
      </w:tr>
    </w:tbl>
    <w:p>
      <w:pPr>
        <w:pStyle w:val="BodyText"/>
        <w:rPr/>
      </w:pPr>
      <w:r>
        <w:rPr/>
        <w:t xml:space="preserve">Alla prima verifica il processo Vitest terminava comunque con codice 0 perché i due target di sicurezza erano espressi con </w:t>
      </w:r>
      <w:r>
        <w:rPr>
          <w:rStyle w:val="VerbatimChar"/>
        </w:rPr>
        <w:t>it.fails</w:t>
      </w:r>
      <w:r>
        <w:rPr/>
        <w:t xml:space="preserve"> — non rendeva CA-01 conforme, perché </w:t>
      </w:r>
      <w:r>
        <w:rPr>
          <w:rStyle w:val="VerbatimChar"/>
        </w:rPr>
        <w:t>it.fails</w:t>
      </w:r>
      <w:r>
        <w:rPr/>
        <w:t xml:space="preserve"> prova solo che il comportamento desiderato non è ancora implementato. Dopo BIB-68 quei due target sono </w:t>
      </w:r>
      <w:r>
        <w:rPr>
          <w:rStyle w:val="VerbatimChar"/>
        </w:rPr>
        <w:t>it()</w:t>
      </w:r>
      <w:r>
        <w:rPr/>
        <w:t xml:space="preserve"> ordinari e passano per il motivo giusto: la guardia è implementata.</w:t>
      </w:r>
    </w:p>
    <w:p>
      <w:pPr>
        <w:pStyle w:val="Heading3"/>
        <w:rPr/>
      </w:pPr>
      <w:bookmarkStart w:id="129" w:name="ca-01-accesso-verificato-dopo-bib-68"/>
      <w:r>
        <w:rPr/>
        <w:t>CA-01 — accesso: verificato (dopo BIB-68)</w:t>
      </w:r>
    </w:p>
    <w:p>
      <w:pPr>
        <w:pStyle w:val="Heading4"/>
        <w:rPr/>
      </w:pPr>
      <w:bookmarkStart w:id="130" w:name="Xd5a1c1a2e6e79ea6081ca872d036f095af34bd2"/>
      <w:r>
        <w:rPr/>
        <w:t>Prima verifica (BIB-63, 2026-09-04) — non conforme</w:t>
      </w:r>
    </w:p>
    <w:p>
      <w:pPr>
        <w:pStyle w:val="FirstParagraph"/>
        <w:rPr/>
      </w:pPr>
      <w:r>
        <w:rPr/>
        <w:t>La selezione focalizzata aveva prodotto:</w:t>
      </w:r>
    </w:p>
    <w:p>
      <w:pPr>
        <w:pStyle w:val="SourceCode"/>
        <w:rPr/>
      </w:pPr>
      <w:r>
        <w:rPr>
          <w:rStyle w:val="VerbatimChar"/>
        </w:rPr>
        <w:t>Test Files  4 passed (4)</w:t>
      </w:r>
      <w:r>
        <w:rPr/>
        <w:br/>
      </w:r>
      <w:r>
        <w:rPr>
          <w:rStyle w:val="VerbatimChar"/>
        </w:rPr>
        <w:t>Tests       45 passed | 2 expected fail (47)</w:t>
      </w:r>
    </w:p>
    <w:p>
      <w:pPr>
        <w:pStyle w:val="FirstParagraph"/>
        <w:rPr/>
      </w:pPr>
      <w:r>
        <w:rPr/>
        <w:t>I casi che descrivevano lo stato reale e i corrispondenti target erano: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52"/>
        <w:gridCol w:w="2353"/>
        <w:gridCol w:w="2353"/>
        <w:gridCol w:w="2353"/>
      </w:tblGrid>
      <w:tr>
        <w:trPr>
          <w:tblHeader w:val="true"/>
        </w:trPr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Caso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Richiesta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Atteso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Osservato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TC-BIB57-050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/ target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051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STUDENTE,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GET /api/admin/posti/[id]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403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la logica handler viene eseguita; 404 o 200, mai 403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TC-BIB57-052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anonimo,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GET /api/admin/richieste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401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200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TC-BIB57-053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anonimo,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PATCH /api/admin/richieste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401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200 e mutazione eseguita</w:t>
            </w:r>
          </w:p>
        </w:tc>
      </w:tr>
      <w:tr>
        <w:trPr/>
        <w:tc>
          <w:tcPr>
            <w:tcW w:w="2352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target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TC-BIB57-054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STUDENTE,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GET /api/admin/richieste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403</w:t>
            </w:r>
          </w:p>
        </w:tc>
        <w:tc>
          <w:tcPr>
            <w:tcW w:w="235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nessuna guardia di autenticazione/ruolo</w:t>
            </w:r>
          </w:p>
        </w:tc>
      </w:tr>
    </w:tbl>
    <w:p>
      <w:pPr>
        <w:pStyle w:val="BodyText"/>
        <w:rPr/>
      </w:pPr>
      <w:r>
        <w:rPr/>
        <w:t>Interventi individuati:</w:t>
      </w:r>
    </w:p>
    <w:p>
      <w:pPr>
        <w:pStyle w:val="Compact"/>
        <w:numPr>
          <w:ilvl w:val="0"/>
          <w:numId w:val="120"/>
        </w:numPr>
        <w:rPr/>
      </w:pPr>
      <w:r>
        <w:rPr/>
        <w:t xml:space="preserve">applicare una guardia staff a </w:t>
      </w:r>
      <w:r>
        <w:rPr>
          <w:rStyle w:val="VerbatimChar"/>
        </w:rPr>
        <w:t>GET /api/admin/posti/[id]</w:t>
      </w:r>
      <w:r>
        <w:rPr/>
        <w:t>;</w:t>
      </w:r>
    </w:p>
    <w:p>
      <w:pPr>
        <w:pStyle w:val="Compact"/>
        <w:numPr>
          <w:ilvl w:val="0"/>
          <w:numId w:val="121"/>
        </w:numPr>
        <w:rPr/>
      </w:pPr>
      <w:r>
        <w:rPr/>
        <w:t xml:space="preserve">applicare autenticazione e ruolo staff a </w:t>
      </w:r>
      <w:r>
        <w:rPr>
          <w:rStyle w:val="VerbatimChar"/>
        </w:rPr>
        <w:t>GET</w:t>
      </w:r>
      <w:r>
        <w:rPr/>
        <w:t xml:space="preserve"> e </w:t>
      </w:r>
      <w:r>
        <w:rPr>
          <w:rStyle w:val="VerbatimChar"/>
        </w:rPr>
        <w:t>PATCH /api/admin/richieste</w:t>
      </w:r>
      <w:r>
        <w:rPr/>
        <w:t>;</w:t>
      </w:r>
    </w:p>
    <w:p>
      <w:pPr>
        <w:pStyle w:val="Compact"/>
        <w:numPr>
          <w:ilvl w:val="0"/>
          <w:numId w:val="122"/>
        </w:numPr>
        <w:rPr/>
      </w:pPr>
      <w:r>
        <w:rPr/>
        <w:t xml:space="preserve">convertire </w:t>
      </w:r>
      <w:r>
        <w:rPr>
          <w:rStyle w:val="VerbatimChar"/>
        </w:rPr>
        <w:t>TC-BIB57-051</w:t>
      </w:r>
      <w:r>
        <w:rPr/>
        <w:t xml:space="preserve"> e </w:t>
      </w:r>
      <w:r>
        <w:rPr>
          <w:rStyle w:val="VerbatimChar"/>
        </w:rPr>
        <w:t>TC-BIB57-054</w:t>
      </w:r>
      <w:r>
        <w:rPr/>
        <w:t xml:space="preserve"> da </w:t>
      </w:r>
      <w:r>
        <w:rPr>
          <w:rStyle w:val="VerbatimChar"/>
        </w:rPr>
        <w:t>it.fails</w:t>
      </w:r>
      <w:r>
        <w:rPr/>
        <w:t xml:space="preserve"> a test ordinari;</w:t>
      </w:r>
    </w:p>
    <w:p>
      <w:pPr>
        <w:pStyle w:val="Compact"/>
        <w:numPr>
          <w:ilvl w:val="0"/>
          <w:numId w:val="123"/>
        </w:numPr>
        <w:rPr/>
      </w:pPr>
      <w:r>
        <w:rPr/>
        <w:t>rieseguire suite CA-01 e gate completi.</w:t>
      </w:r>
    </w:p>
    <w:p>
      <w:pPr>
        <w:pStyle w:val="FirstParagraph"/>
        <w:rPr/>
      </w:pPr>
      <w:bookmarkStart w:id="131" w:name="Xd5a1c1a2e6e79ea6081ca872d036f095af34bd2"/>
      <w:r>
        <w:rPr/>
        <w:t>La correzione non era stata effettuata in BIB-63 per rispettare sia il perimetro di una task di verifica sia la responsabilità dell’area admin/UI.</w:t>
      </w:r>
      <w:bookmarkEnd w:id="131"/>
    </w:p>
    <w:p>
      <w:pPr>
        <w:pStyle w:val="Heading4"/>
        <w:rPr/>
      </w:pPr>
      <w:bookmarkStart w:id="132" w:name="X2eb61451333d787227a6c1f7edd28e07fa38ad2"/>
      <w:r>
        <w:rPr/>
        <w:t>Correzione (BIB-68) e verifica finale — conforme</w:t>
      </w:r>
    </w:p>
    <w:p>
      <w:pPr>
        <w:pStyle w:val="FirstParagraph"/>
        <w:rPr/>
      </w:pPr>
      <w:r>
        <w:rPr/>
        <w:t xml:space="preserve">BIB-68 ha applicato la guardia “sessione + ruolo staff” — eseguita </w:t>
      </w:r>
      <w:r>
        <w:rPr>
          <w:b/>
          <w:bCs/>
        </w:rPr>
        <w:t>prima</w:t>
      </w:r>
      <w:r>
        <w:rPr/>
        <w:t xml:space="preserve"> di leggere parametri/body o interrogare Prisma — a </w:t>
      </w:r>
      <w:r>
        <w:rPr>
          <w:rStyle w:val="VerbatimChar"/>
        </w:rPr>
        <w:t>GET /api/admin/posti/[id]</w:t>
      </w:r>
      <w:r>
        <w:rPr/>
        <w:t xml:space="preserve"> e a </w:t>
      </w:r>
      <w:r>
        <w:rPr>
          <w:rStyle w:val="VerbatimChar"/>
        </w:rPr>
        <w:t>GET</w:t>
      </w:r>
      <w:r>
        <w:rPr/>
        <w:t>/</w:t>
      </w:r>
      <w:r>
        <w:rPr>
          <w:rStyle w:val="VerbatimChar"/>
        </w:rPr>
        <w:t>PATCH /api/admin/richieste</w:t>
      </w:r>
      <w:r>
        <w:rPr/>
        <w:t xml:space="preserve">; nel </w:t>
      </w:r>
      <w:r>
        <w:rPr>
          <w:rStyle w:val="VerbatimChar"/>
        </w:rPr>
        <w:t>PATCH</w:t>
      </w:r>
      <w:r>
        <w:rPr/>
        <w:t xml:space="preserve"> ha aggiunto anche la validazione di </w:t>
      </w:r>
      <w:r>
        <w:rPr>
          <w:rStyle w:val="VerbatimChar"/>
        </w:rPr>
        <w:t>stato</w:t>
      </w:r>
      <w:r>
        <w:rPr/>
        <w:t xml:space="preserve"> (contro l’enum Prisma </w:t>
      </w:r>
      <w:r>
        <w:rPr>
          <w:rStyle w:val="VerbatimChar"/>
        </w:rPr>
        <w:t>StatoRichiesta</w:t>
      </w:r>
      <w:r>
        <w:rPr/>
        <w:t xml:space="preserve">) e di </w:t>
      </w:r>
      <w:r>
        <w:rPr>
          <w:rStyle w:val="VerbatimChar"/>
        </w:rPr>
        <w:t>note</w:t>
      </w:r>
      <w:r>
        <w:rPr/>
        <w:t xml:space="preserve"> (≤ 500 caratteri), entrambe 422 se non valide.</w:t>
      </w:r>
    </w:p>
    <w:p>
      <w:pPr>
        <w:pStyle w:val="BodyText"/>
        <w:rPr/>
      </w:pPr>
      <w:r>
        <w:rPr/>
        <w:t>Matrice 401/403 verificata (</w:t>
      </w:r>
      <w:r>
        <w:rPr>
          <w:rStyle w:val="VerbatimChar"/>
        </w:rPr>
        <w:t>tests/integration/autorizzazione-admin.test.ts</w:t>
      </w:r>
      <w:r>
        <w:rPr/>
        <w:t>, blocco 05x):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68"/>
        <w:gridCol w:w="2614"/>
        <w:gridCol w:w="2615"/>
        <w:gridCol w:w="2614"/>
      </w:tblGrid>
      <w:tr>
        <w:trPr>
          <w:tblHeader w:val="true"/>
        </w:trPr>
        <w:tc>
          <w:tcPr>
            <w:tcW w:w="1568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Route</w:t>
            </w:r>
          </w:p>
        </w:tc>
        <w:tc>
          <w:tcPr>
            <w:tcW w:w="2614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Anonimo</w:t>
            </w:r>
          </w:p>
        </w:tc>
        <w:tc>
          <w:tcPr>
            <w:tcW w:w="261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STUDENTE</w:t>
            </w:r>
          </w:p>
        </w:tc>
        <w:tc>
          <w:tcPr>
            <w:tcW w:w="2614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BIBLIOTECARIO/ADMIN</w:t>
            </w:r>
          </w:p>
        </w:tc>
      </w:tr>
      <w:tr>
        <w:trPr/>
        <w:tc>
          <w:tcPr>
            <w:tcW w:w="156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GET /api/admin/posti/[id]</w:t>
            </w:r>
          </w:p>
        </w:tc>
        <w:tc>
          <w:tcPr>
            <w:tcW w:w="2614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401 (già coperto,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TC-BIB57-007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)</w:t>
            </w:r>
          </w:p>
        </w:tc>
        <w:tc>
          <w:tcPr>
            <w:tcW w:w="261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403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TC-BIB57-050/051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)</w:t>
            </w:r>
          </w:p>
        </w:tc>
        <w:tc>
          <w:tcPr>
            <w:tcW w:w="2614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consentito (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TC-BIB57-060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)</w:t>
            </w:r>
          </w:p>
        </w:tc>
      </w:tr>
      <w:tr>
        <w:trPr/>
        <w:tc>
          <w:tcPr>
            <w:tcW w:w="156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GET /api/admin/richieste</w:t>
            </w:r>
          </w:p>
        </w:tc>
        <w:tc>
          <w:tcPr>
            <w:tcW w:w="2614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401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TC-BIB57-052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)</w:t>
            </w:r>
          </w:p>
        </w:tc>
        <w:tc>
          <w:tcPr>
            <w:tcW w:w="261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403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TC-BIB57-054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)</w:t>
            </w:r>
          </w:p>
        </w:tc>
        <w:tc>
          <w:tcPr>
            <w:tcW w:w="2614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consentito, 200 (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TC-BIB57-056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)</w:t>
            </w:r>
          </w:p>
        </w:tc>
      </w:tr>
      <w:tr>
        <w:trPr/>
        <w:tc>
          <w:tcPr>
            <w:tcW w:w="156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PATCH /api/admin/richieste</w:t>
            </w:r>
          </w:p>
        </w:tc>
        <w:tc>
          <w:tcPr>
            <w:tcW w:w="2614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401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TC-BIB57-053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)</w:t>
            </w:r>
          </w:p>
        </w:tc>
        <w:tc>
          <w:tcPr>
            <w:tcW w:w="261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403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TC-BIB57-055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)</w:t>
            </w:r>
          </w:p>
        </w:tc>
        <w:tc>
          <w:tcPr>
            <w:tcW w:w="2614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center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consentito, muta (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TC-BIB57-057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)</w:t>
            </w:r>
          </w:p>
        </w:tc>
      </w:tr>
    </w:tbl>
    <w:p>
      <w:pPr>
        <w:pStyle w:val="BodyText"/>
        <w:rPr/>
      </w:pPr>
      <w:r>
        <w:rPr/>
        <w:t xml:space="preserve">In tutti i casi 401/403 nessuna query o mutazione Prisma viene invocata (asserito esplicitamente in ciascun test). Aggiunta anche la validazione del </w:t>
      </w:r>
      <w:r>
        <w:rPr>
          <w:rStyle w:val="VerbatimChar"/>
        </w:rPr>
        <w:t>PATCH</w:t>
      </w:r>
      <w:r>
        <w:rPr/>
        <w:t xml:space="preserve">: </w:t>
      </w:r>
      <w:r>
        <w:rPr>
          <w:rStyle w:val="VerbatimChar"/>
        </w:rPr>
        <w:t>stato</w:t>
      </w:r>
      <w:r>
        <w:rPr/>
        <w:t xml:space="preserve"> fuori enum → 422 (</w:t>
      </w:r>
      <w:r>
        <w:rPr>
          <w:rStyle w:val="VerbatimChar"/>
        </w:rPr>
        <w:t>TC-BIB57-058</w:t>
      </w:r>
      <w:r>
        <w:rPr/>
        <w:t xml:space="preserve">), </w:t>
      </w:r>
      <w:r>
        <w:rPr>
          <w:rStyle w:val="VerbatimChar"/>
        </w:rPr>
        <w:t>note</w:t>
      </w:r>
      <w:r>
        <w:rPr/>
        <w:t xml:space="preserve"> &gt; 500 caratteri → 422 (</w:t>
      </w:r>
      <w:r>
        <w:rPr>
          <w:rStyle w:val="VerbatimChar"/>
        </w:rPr>
        <w:t>TC-BIB57-059</w:t>
      </w:r>
      <w:r>
        <w:rPr/>
        <w:t>), nessuno dei due muta.</w:t>
      </w:r>
    </w:p>
    <w:p>
      <w:pPr>
        <w:pStyle w:val="BodyText"/>
        <w:rPr/>
      </w:pPr>
      <w:r>
        <w:rPr/>
        <w:t>Esito della suite focalizzata dopo la correzione:</w:t>
      </w:r>
    </w:p>
    <w:p>
      <w:pPr>
        <w:pStyle w:val="SourceCode"/>
        <w:rPr/>
      </w:pPr>
      <w:r>
        <w:rPr>
          <w:rStyle w:val="VerbatimChar"/>
        </w:rPr>
        <w:t>Test Files  1 passed (1)</w:t>
      </w:r>
      <w:r>
        <w:rPr/>
        <w:br/>
      </w:r>
      <w:r>
        <w:rPr>
          <w:rStyle w:val="VerbatimChar"/>
        </w:rPr>
        <w:t>Tests       36 passed (36)</w:t>
      </w:r>
    </w:p>
    <w:p>
      <w:pPr>
        <w:pStyle w:val="FirstParagraph"/>
        <w:rPr/>
      </w:pPr>
      <w:r>
        <w:rPr>
          <w:rStyle w:val="VerbatimChar"/>
        </w:rPr>
        <w:t>TC-BIB57-051</w:t>
      </w:r>
      <w:r>
        <w:rPr/>
        <w:t xml:space="preserve"> e </w:t>
      </w:r>
      <w:r>
        <w:rPr>
          <w:rStyle w:val="VerbatimChar"/>
        </w:rPr>
        <w:t>TC-BIB57-054</w:t>
      </w:r>
      <w:r>
        <w:rPr/>
        <w:t xml:space="preserve"> non sono più </w:t>
      </w:r>
      <w:r>
        <w:rPr>
          <w:rStyle w:val="VerbatimChar"/>
        </w:rPr>
        <w:t>it.fails</w:t>
      </w:r>
      <w:r>
        <w:rPr/>
        <w:t xml:space="preserve">: sono </w:t>
      </w:r>
      <w:r>
        <w:rPr>
          <w:rStyle w:val="VerbatimChar"/>
        </w:rPr>
        <w:t>it()</w:t>
      </w:r>
      <w:r>
        <w:rPr/>
        <w:t xml:space="preserve"> ordinari e verdi. CA-01 è quindi </w:t>
      </w:r>
      <w:r>
        <w:rPr>
          <w:b/>
          <w:bCs/>
        </w:rPr>
        <w:t>verificato</w:t>
      </w:r>
      <w:r>
        <w:rPr/>
        <w:t xml:space="preserve"> secondo lo stesso criterio applicato agli altri cinque.</w:t>
      </w:r>
      <w:bookmarkEnd w:id="129"/>
      <w:bookmarkEnd w:id="132"/>
    </w:p>
    <w:p>
      <w:pPr>
        <w:pStyle w:val="Heading3"/>
        <w:rPr/>
      </w:pPr>
      <w:bookmarkStart w:id="133" w:name="ca-02-concorrenza-verificato"/>
      <w:r>
        <w:rPr/>
        <w:t>CA-02 — concorrenza: verificato</w:t>
      </w:r>
    </w:p>
    <w:p>
      <w:pPr>
        <w:pStyle w:val="FirstParagraph"/>
        <w:rPr/>
      </w:pPr>
      <w:r>
        <w:rPr>
          <w:rStyle w:val="VerbatimChar"/>
        </w:rPr>
        <w:t>tests/integration/concorrenza.test.ts</w:t>
      </w:r>
      <w:r>
        <w:rPr/>
        <w:t xml:space="preserve"> è stato eseguito cinque volte in sequenza contro PostgreSQL reale. Ogni esecuzione comprende:</w:t>
      </w:r>
    </w:p>
    <w:p>
      <w:pPr>
        <w:pStyle w:val="Compact"/>
        <w:numPr>
          <w:ilvl w:val="0"/>
          <w:numId w:val="124"/>
        </w:numPr>
        <w:rPr/>
      </w:pPr>
      <w:r>
        <w:rPr/>
        <w:t>due richieste simultanee ripetute internamente su tre round;</w:t>
      </w:r>
    </w:p>
    <w:p>
      <w:pPr>
        <w:pStyle w:val="Compact"/>
        <w:numPr>
          <w:ilvl w:val="0"/>
          <w:numId w:val="125"/>
        </w:numPr>
        <w:rPr/>
      </w:pPr>
      <w:r>
        <w:rPr/>
        <w:t>N richieste simultanee con controllo dell’unico vincitore e assenza di record fantasma.</w:t>
      </w:r>
    </w:p>
    <w:p>
      <w:pPr>
        <w:pStyle w:val="FirstParagraph"/>
        <w:rPr/>
      </w:pPr>
      <w:r>
        <w:rPr/>
        <w:t>Esito aggregato:</w:t>
      </w:r>
    </w:p>
    <w:p>
      <w:pPr>
        <w:pStyle w:val="SourceCode"/>
        <w:rPr/>
      </w:pPr>
      <w:r>
        <w:rPr>
          <w:rStyle w:val="VerbatimChar"/>
        </w:rPr>
        <w:t>RUN 1..5: exit 0</w:t>
      </w:r>
      <w:r>
        <w:rPr/>
        <w:br/>
      </w:r>
      <w:r>
        <w:rPr>
          <w:rStyle w:val="VerbatimChar"/>
        </w:rPr>
        <w:t>Test Files  1 passed (1) per esecuzione</w:t>
      </w:r>
      <w:r>
        <w:rPr/>
        <w:br/>
      </w:r>
      <w:r>
        <w:rPr>
          <w:rStyle w:val="VerbatimChar"/>
        </w:rPr>
        <w:t>Tests       2 passed (2) per esecuzione</w:t>
      </w:r>
      <w:r>
        <w:rPr/>
        <w:br/>
      </w:r>
      <w:r>
        <w:rPr>
          <w:rStyle w:val="VerbatimChar"/>
        </w:rPr>
        <w:t>Totale      10/10 passati</w:t>
      </w:r>
    </w:p>
    <w:p>
      <w:pPr>
        <w:pStyle w:val="FirstParagraph"/>
        <w:rPr/>
      </w:pPr>
      <w:bookmarkStart w:id="134" w:name="ca-02-concorrenza-verificato"/>
      <w:r>
        <w:rPr/>
        <w:t>I messaggi Prisma relativi a write conflict, deadlock o violazione del vincolo di esclusione sono attesi: rappresentano le richieste perdenti che il dominio traduce in conflitto, non fallimenti del test.</w:t>
      </w:r>
      <w:bookmarkEnd w:id="134"/>
    </w:p>
    <w:p>
      <w:pPr>
        <w:pStyle w:val="Heading3"/>
        <w:rPr/>
      </w:pPr>
      <w:bookmarkStart w:id="135" w:name="ca-03-ca-04-e-ca-05-verificati"/>
      <w:r>
        <w:rPr/>
        <w:t>CA-03, CA-04 e CA-05 — verificati</w:t>
      </w:r>
    </w:p>
    <w:p>
      <w:pPr>
        <w:pStyle w:val="FirstParagraph"/>
        <w:rPr/>
      </w:pPr>
      <w:r>
        <w:rPr/>
        <w:t>Una selezione di dieci file focalizzati su lista d’attesa, dominio, riassegnazione, automazioni, notifiche e realtime ha prodotto:</w:t>
      </w:r>
    </w:p>
    <w:p>
      <w:pPr>
        <w:pStyle w:val="SourceCode"/>
        <w:rPr/>
      </w:pPr>
      <w:r>
        <w:rPr>
          <w:rStyle w:val="VerbatimChar"/>
        </w:rPr>
        <w:t>Test Files  10 passed (10)</w:t>
      </w:r>
      <w:r>
        <w:rPr/>
        <w:br/>
      </w:r>
      <w:r>
        <w:rPr>
          <w:rStyle w:val="VerbatimChar"/>
        </w:rPr>
        <w:t>Tests       113 passed (113)</w:t>
      </w:r>
    </w:p>
    <w:p>
      <w:pPr>
        <w:pStyle w:val="FirstParagraph"/>
        <w:rPr/>
      </w:pPr>
      <w:r>
        <w:rPr/>
        <w:t>Le evidenze includono:</w:t>
      </w:r>
    </w:p>
    <w:p>
      <w:pPr>
        <w:pStyle w:val="Compact"/>
        <w:numPr>
          <w:ilvl w:val="0"/>
          <w:numId w:val="126"/>
        </w:numPr>
        <w:rPr/>
      </w:pPr>
      <w:r>
        <w:rPr/>
        <w:t>unicità DB della richiesta in coda e nessun duplicato;</w:t>
      </w:r>
    </w:p>
    <w:p>
      <w:pPr>
        <w:pStyle w:val="Compact"/>
        <w:numPr>
          <w:ilvl w:val="0"/>
          <w:numId w:val="127"/>
        </w:numPr>
        <w:rPr/>
      </w:pPr>
      <w:r>
        <w:rPr/>
        <w:t xml:space="preserve">ordinamento deterministico per </w:t>
      </w:r>
      <w:r>
        <w:rPr>
          <w:rStyle w:val="VerbatimChar"/>
        </w:rPr>
        <w:t>createdAt</w:t>
      </w:r>
      <w:r>
        <w:rPr/>
        <w:t xml:space="preserve"> con </w:t>
      </w:r>
      <w:r>
        <w:rPr>
          <w:rStyle w:val="VerbatimChar"/>
        </w:rPr>
        <w:t>id</w:t>
      </w:r>
      <w:r>
        <w:rPr/>
        <w:t xml:space="preserve"> come tie-breaker;</w:t>
      </w:r>
    </w:p>
    <w:p>
      <w:pPr>
        <w:pStyle w:val="Compact"/>
        <w:numPr>
          <w:ilvl w:val="0"/>
          <w:numId w:val="128"/>
        </w:numPr>
        <w:rPr/>
      </w:pPr>
      <w:r>
        <w:rPr/>
        <w:t>promozione transazionale senza sovrapposizioni;</w:t>
      </w:r>
    </w:p>
    <w:p>
      <w:pPr>
        <w:pStyle w:val="Compact"/>
        <w:numPr>
          <w:ilvl w:val="0"/>
          <w:numId w:val="129"/>
        </w:numPr>
        <w:rPr/>
      </w:pPr>
      <w:r>
        <w:rPr/>
        <w:t>idempotenza di lock cron, scadenza e promozione;</w:t>
      </w:r>
    </w:p>
    <w:p>
      <w:pPr>
        <w:pStyle w:val="Compact"/>
        <w:numPr>
          <w:ilvl w:val="0"/>
          <w:numId w:val="130"/>
        </w:numPr>
        <w:rPr/>
      </w:pPr>
      <w:r>
        <w:rPr/>
        <w:t>log correlati e notifiche per ingresso, uscita, promozione e scadenza;</w:t>
      </w:r>
    </w:p>
    <w:p>
      <w:pPr>
        <w:pStyle w:val="Compact"/>
        <w:numPr>
          <w:ilvl w:val="0"/>
          <w:numId w:val="131"/>
        </w:numPr>
        <w:rPr/>
      </w:pPr>
      <w:bookmarkStart w:id="136" w:name="ca-03-ca-04-e-ca-05-verificati"/>
      <w:r>
        <w:rPr/>
        <w:t>propagazione realtime ai soli canali previsti.</w:t>
      </w:r>
      <w:bookmarkEnd w:id="136"/>
    </w:p>
    <w:p>
      <w:pPr>
        <w:pStyle w:val="Heading3"/>
        <w:rPr/>
      </w:pPr>
      <w:bookmarkStart w:id="137" w:name="ca-06-regressione-verificato"/>
      <w:r>
        <w:rPr/>
        <w:t>CA-06 — regressione: verificato</w:t>
      </w:r>
    </w:p>
    <w:p>
      <w:pPr>
        <w:pStyle w:val="FirstParagraph"/>
        <w:rPr/>
      </w:pPr>
      <w:r>
        <w:rPr/>
        <w:t>Il report BIB-62 confronta tutti i casi invariati con BIB-22:</w:t>
      </w:r>
    </w:p>
    <w:p>
      <w:pPr>
        <w:pStyle w:val="SourceCode"/>
        <w:rPr/>
      </w:pPr>
      <w:r>
        <w:rPr>
          <w:rStyle w:val="VerbatimChar"/>
        </w:rPr>
        <w:t>Baseline        20/20 PASS</w:t>
      </w:r>
      <w:r>
        <w:rPr/>
        <w:br/>
      </w:r>
      <w:r>
        <w:rPr>
          <w:rStyle w:val="VerbatimChar"/>
        </w:rPr>
        <w:t>Post-modifica   20/20 PASS</w:t>
      </w:r>
      <w:r>
        <w:rPr/>
        <w:br/>
      </w:r>
      <w:r>
        <w:rPr>
          <w:rStyle w:val="VerbatimChar"/>
        </w:rPr>
        <w:t>Differenze      0</w:t>
      </w:r>
    </w:p>
    <w:p>
      <w:pPr>
        <w:pStyle w:val="FirstParagraph"/>
        <w:rPr/>
      </w:pPr>
      <w:r>
        <w:rPr/>
        <w:t xml:space="preserve">Le differenze del check-in sono miglioramenti intenzionali classificati come </w:t>
      </w:r>
      <w:r>
        <w:rPr>
          <w:b/>
          <w:bCs/>
        </w:rPr>
        <w:t>MODIFICATI</w:t>
      </w:r>
      <w:r>
        <w:rPr/>
        <w:t>, mentre i limiti PWA osservati esistevano già nella baseline. Non risultano regressioni introdotte dalla CR-BF-01 nel perimetro definito.</w:t>
      </w:r>
      <w:bookmarkEnd w:id="137"/>
    </w:p>
    <w:p>
      <w:pPr>
        <w:pStyle w:val="Heading3"/>
        <w:rPr/>
      </w:pPr>
      <w:bookmarkStart w:id="138" w:name="stabilità-della-suite-completa"/>
      <w:r>
        <w:rPr/>
        <w:t>Stabilità della suite completa</w:t>
      </w:r>
    </w:p>
    <w:p>
      <w:pPr>
        <w:pStyle w:val="FirstParagraph"/>
        <w:rPr/>
      </w:pPr>
      <w:r>
        <w:rPr/>
        <w:t>Dopo l’esecuzione di diversi sottoinsiemi sullo stesso database, una prima esecuzione completa ha riportato un singolo test intermittente. L’output diagnostico non ha permesso di attribuirlo a un criterio. L’anomalia non si è riprodotta:</w:t>
      </w:r>
    </w:p>
    <w:p>
      <w:pPr>
        <w:pStyle w:val="Compact"/>
        <w:numPr>
          <w:ilvl w:val="0"/>
          <w:numId w:val="132"/>
        </w:numPr>
        <w:rPr/>
      </w:pPr>
      <w:r>
        <w:rPr/>
        <w:t>10 riesecuzioni complete consecutive: tutte verdi;</w:t>
      </w:r>
    </w:p>
    <w:p>
      <w:pPr>
        <w:pStyle w:val="Compact"/>
        <w:numPr>
          <w:ilvl w:val="0"/>
          <w:numId w:val="133"/>
        </w:numPr>
        <w:rPr/>
      </w:pPr>
      <w:r>
        <w:rPr/>
        <w:t xml:space="preserve">ultima esecuzione dopo ricreazione del container, 7/7 migrazioni e fixture pulita: 179 passati, 2 </w:t>
      </w:r>
      <w:r>
        <w:rPr>
          <w:rStyle w:val="VerbatimChar"/>
        </w:rPr>
        <w:t>expected fail</w:t>
      </w:r>
      <w:r>
        <w:rPr/>
        <w:t>, 0 fallimenti inattesi;</w:t>
      </w:r>
    </w:p>
    <w:p>
      <w:pPr>
        <w:pStyle w:val="Compact"/>
        <w:numPr>
          <w:ilvl w:val="0"/>
          <w:numId w:val="134"/>
        </w:numPr>
        <w:rPr/>
      </w:pPr>
      <w:r>
        <w:rPr/>
        <w:t>suite concorrenza isolata: 5/5 esecuzioni verdi.</w:t>
      </w:r>
    </w:p>
    <w:p>
      <w:pPr>
        <w:pStyle w:val="FirstParagraph"/>
        <w:rPr/>
      </w:pPr>
      <w:bookmarkStart w:id="139" w:name="stabilità-della-suite-completa"/>
      <w:r>
        <w:rPr/>
        <w:t>Il dato è registrato per trasparenza come probabile contaminazione dello stato di test durante la sessione esplorativa. Non c’è al momento un fallimento riproducibile da aprire come regressione; se ricompare in CI va conservato il log completo e aperta una task di stabilizzazione del test database.</w:t>
      </w:r>
      <w:bookmarkEnd w:id="139"/>
    </w:p>
    <w:p>
      <w:pPr>
        <w:pStyle w:val="Heading3"/>
        <w:rPr/>
      </w:pPr>
      <w:bookmarkStart w:id="140" w:name="stato-consigliato"/>
      <w:r>
        <w:rPr/>
        <w:t>Stato consigliato</w:t>
      </w:r>
    </w:p>
    <w:p>
      <w:pPr>
        <w:pStyle w:val="Compact"/>
        <w:numPr>
          <w:ilvl w:val="0"/>
          <w:numId w:val="135"/>
        </w:numPr>
        <w:rPr/>
      </w:pPr>
      <w:r>
        <w:rPr/>
        <w:t xml:space="preserve">BIB-63: </w:t>
      </w:r>
      <w:r>
        <w:rPr>
          <w:b/>
          <w:bCs/>
        </w:rPr>
        <w:t>6/6 — pronta per la revisione</w:t>
      </w:r>
      <w:r>
        <w:rPr/>
        <w:t>, dopo il merge della PR correttiva di BIB-68.</w:t>
      </w:r>
    </w:p>
    <w:p>
      <w:pPr>
        <w:pStyle w:val="Compact"/>
        <w:numPr>
          <w:ilvl w:val="0"/>
          <w:numId w:val="136"/>
        </w:numPr>
        <w:rPr/>
      </w:pPr>
      <w:r>
        <w:rPr/>
        <w:t>BIB-68: correzione implementata e verificata (401/403/422 su tutte e tre le route, 36/36 test focalizzati, 187/187 sulla suite completa); in revisione.</w:t>
      </w:r>
    </w:p>
    <w:p>
      <w:pPr>
        <w:pStyle w:val="Compact"/>
        <w:numPr>
          <w:ilvl w:val="0"/>
          <w:numId w:val="137"/>
        </w:numPr>
        <w:rPr/>
      </w:pPr>
      <w:r>
        <w:rPr/>
        <w:t>BIB-7 (epic Fase 6): chiudibile dopo il merge della PR di BIB-68.</w:t>
      </w:r>
    </w:p>
    <w:p>
      <w:pPr>
        <w:pStyle w:val="Compact"/>
        <w:numPr>
          <w:ilvl w:val="0"/>
          <w:numId w:val="138"/>
        </w:numPr>
        <w:rPr/>
      </w:pPr>
      <w:bookmarkStart w:id="141" w:name="stato-consigliato"/>
      <w:r>
        <w:rPr/>
        <w:t>BIB-60, BIB-61 e BIB-62: documenti disponibili nelle rispettive PR e pagine Confluence, invariati da questo aggiornamento.</w:t>
      </w:r>
      <w:bookmarkEnd w:id="141"/>
    </w:p>
    <w:p>
      <w:pPr>
        <w:pStyle w:val="Heading3"/>
        <w:rPr/>
      </w:pPr>
      <w:r>
        <w:rPr/>
        <w:t>Cronologia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705"/>
        <w:gridCol w:w="4706"/>
      </w:tblGrid>
      <w:tr>
        <w:trPr>
          <w:tblHeader w:val="true"/>
        </w:trPr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Data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6" w:space="0" w:color="000000"/>
              <w:right w:val="single" w:sz="4" w:space="0" w:color="B8C2D0"/>
            </w:tcBorders>
            <w:shd w:color="auto" w:fill="E3E9F2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b/>
                <w:kern w:val="0"/>
                <w:sz w:val="17"/>
                <w:szCs w:val="24"/>
                <w:lang w:val="it-IT" w:eastAsia="en-US" w:bidi="ar-SA"/>
              </w:rPr>
              <w:t>Evento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2026-09-04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Prima verifica (BIB-63): 5/6, CA-01 bloccato da 3 varchi sulle route admin.</w:t>
            </w:r>
          </w:p>
        </w:tc>
      </w:tr>
      <w:tr>
        <w:trPr/>
        <w:tc>
          <w:tcPr>
            <w:tcW w:w="470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>2026-09-04</w:t>
            </w:r>
          </w:p>
        </w:tc>
        <w:tc>
          <w:tcPr>
            <w:tcW w:w="4706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it-IT" w:eastAsia="en-US" w:bidi="ar-SA"/>
              </w:rPr>
            </w:pP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BIB-68: guardie applicate,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TC-BIB57-051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/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054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promossi da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it.fails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a 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it()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 verdi, 6 nuovi casi (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055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-</w:t>
            </w:r>
            <w:r>
              <w:rPr>
                <w:rStyle w:val="VerbatimChar"/>
                <w:kern w:val="0"/>
                <w:sz w:val="17"/>
                <w:szCs w:val="24"/>
                <w:lang w:val="it-IT" w:eastAsia="en-US" w:bidi="ar-SA"/>
              </w:rPr>
              <w:t>060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 xml:space="preserve">) a copertura di ruoli/validazione. Verifica finale aggiornata a </w:t>
            </w:r>
            <w:r>
              <w:rPr>
                <w:b/>
                <w:bCs/>
                <w:kern w:val="0"/>
                <w:sz w:val="17"/>
                <w:szCs w:val="24"/>
                <w:lang w:val="it-IT" w:eastAsia="en-US" w:bidi="ar-SA"/>
              </w:rPr>
              <w:t>6/6</w:t>
            </w:r>
            <w:r>
              <w:rPr>
                <w:kern w:val="0"/>
                <w:sz w:val="17"/>
                <w:szCs w:val="24"/>
                <w:lang w:val="it-IT" w:eastAsia="en-US" w:bidi="ar-SA"/>
              </w:rPr>
              <w:t>.</w:t>
            </w:r>
            <w:bookmarkStart w:id="142" w:name="Xcc2f976ac4dbfe182d234daad2955e4c9478f93"/>
            <w:bookmarkStart w:id="143" w:name="Xd0727cf2e7c1586d4df30b8ca39aafdb7f200ca"/>
            <w:bookmarkStart w:id="144" w:name="cronologia"/>
            <w:bookmarkEnd w:id="142"/>
            <w:bookmarkEnd w:id="143"/>
            <w:bookmarkEnd w:id="144"/>
          </w:p>
        </w:tc>
      </w:tr>
    </w:tbl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1247" w:right="1247" w:gutter="0" w:header="720" w:top="1247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>
        <w:sz w:val="17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>
        <w:color w:val="707070"/>
        <w:sz w:val="17"/>
      </w:rPr>
      <w:t>BiblioFlow — CR-BF-01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3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  <w:num w:numId="46">
    <w:abstractNumId w:val="1"/>
    <w:lvlOverride w:ilvl="0">
      <w:startOverride w:val="1"/>
    </w:lvlOverride>
  </w:num>
  <w:num w:numId="47">
    <w:abstractNumId w:val="1"/>
  </w:num>
  <w:num w:numId="48">
    <w:abstractNumId w:val="3"/>
  </w:num>
  <w:num w:numId="49">
    <w:abstractNumId w:val="3"/>
  </w:num>
  <w:num w:numId="50">
    <w:abstractNumId w:val="3"/>
  </w:num>
  <w:num w:numId="51">
    <w:abstractNumId w:val="3"/>
  </w:num>
  <w:num w:numId="52">
    <w:abstractNumId w:val="3"/>
  </w:num>
  <w:num w:numId="53">
    <w:abstractNumId w:val="3"/>
  </w:num>
  <w:num w:numId="54">
    <w:abstractNumId w:val="3"/>
  </w:num>
  <w:num w:numId="55">
    <w:abstractNumId w:val="3"/>
  </w:num>
  <w:num w:numId="56">
    <w:abstractNumId w:val="3"/>
  </w:num>
  <w:num w:numId="57">
    <w:abstractNumId w:val="3"/>
  </w:num>
  <w:num w:numId="58">
    <w:abstractNumId w:val="3"/>
  </w:num>
  <w:num w:numId="59">
    <w:abstractNumId w:val="3"/>
  </w:num>
  <w:num w:numId="60">
    <w:abstractNumId w:val="1"/>
    <w:lvlOverride w:ilvl="0">
      <w:startOverride w:val="1"/>
    </w:lvlOverride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3"/>
  </w:num>
  <w:num w:numId="67">
    <w:abstractNumId w:val="3"/>
  </w:num>
  <w:num w:numId="68">
    <w:abstractNumId w:val="3"/>
  </w:num>
  <w:num w:numId="69">
    <w:abstractNumId w:val="3"/>
  </w:num>
  <w:num w:numId="70">
    <w:abstractNumId w:val="3"/>
  </w:num>
  <w:num w:numId="71">
    <w:abstractNumId w:val="3"/>
  </w:num>
  <w:num w:numId="72">
    <w:abstractNumId w:val="3"/>
  </w:num>
  <w:num w:numId="73">
    <w:abstractNumId w:val="3"/>
  </w:num>
  <w:num w:numId="74">
    <w:abstractNumId w:val="3"/>
  </w:num>
  <w:num w:numId="75">
    <w:abstractNumId w:val="3"/>
  </w:num>
  <w:num w:numId="76">
    <w:abstractNumId w:val="3"/>
  </w:num>
  <w:num w:numId="77">
    <w:abstractNumId w:val="1"/>
    <w:lvlOverride w:ilvl="0">
      <w:startOverride w:val="1"/>
    </w:lvlOverride>
  </w:num>
  <w:num w:numId="78">
    <w:abstractNumId w:val="1"/>
  </w:num>
  <w:num w:numId="79">
    <w:abstractNumId w:val="1"/>
  </w:num>
  <w:num w:numId="80">
    <w:abstractNumId w:val="1"/>
  </w:num>
  <w:num w:numId="81">
    <w:abstractNumId w:val="1"/>
    <w:lvlOverride w:ilvl="0">
      <w:startOverride w:val="1"/>
    </w:lvlOverride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3"/>
  </w:num>
  <w:num w:numId="89">
    <w:abstractNumId w:val="3"/>
  </w:num>
  <w:num w:numId="90">
    <w:abstractNumId w:val="3"/>
  </w:num>
  <w:num w:numId="91">
    <w:abstractNumId w:val="3"/>
  </w:num>
  <w:num w:numId="92">
    <w:abstractNumId w:val="3"/>
  </w:num>
  <w:num w:numId="93">
    <w:abstractNumId w:val="1"/>
    <w:lvlOverride w:ilvl="0">
      <w:startOverride w:val="1"/>
    </w:lvlOverride>
  </w:num>
  <w:num w:numId="94">
    <w:abstractNumId w:val="1"/>
  </w:num>
  <w:num w:numId="95">
    <w:abstractNumId w:val="3"/>
  </w:num>
  <w:num w:numId="96">
    <w:abstractNumId w:val="3"/>
  </w:num>
  <w:num w:numId="97">
    <w:abstractNumId w:val="3"/>
  </w:num>
  <w:num w:numId="98">
    <w:abstractNumId w:val="3"/>
  </w:num>
  <w:num w:numId="99">
    <w:abstractNumId w:val="3"/>
  </w:num>
  <w:num w:numId="100">
    <w:abstractNumId w:val="3"/>
  </w:num>
  <w:num w:numId="101">
    <w:abstractNumId w:val="3"/>
  </w:num>
  <w:num w:numId="102">
    <w:abstractNumId w:val="1"/>
    <w:lvlOverride w:ilvl="0">
      <w:startOverride w:val="1"/>
    </w:lvlOverride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3"/>
  </w:num>
  <w:num w:numId="108">
    <w:abstractNumId w:val="3"/>
  </w:num>
  <w:num w:numId="109">
    <w:abstractNumId w:val="3"/>
  </w:num>
  <w:num w:numId="110">
    <w:abstractNumId w:val="1"/>
    <w:lvlOverride w:ilvl="0">
      <w:startOverride w:val="1"/>
    </w:lvlOverride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3"/>
  </w:num>
  <w:num w:numId="117">
    <w:abstractNumId w:val="3"/>
  </w:num>
  <w:num w:numId="118">
    <w:abstractNumId w:val="3"/>
  </w:num>
  <w:num w:numId="119">
    <w:abstractNumId w:val="3"/>
  </w:num>
  <w:num w:numId="120">
    <w:abstractNumId w:val="1"/>
    <w:lvlOverride w:ilvl="0">
      <w:startOverride w:val="1"/>
    </w:lvlOverride>
  </w:num>
  <w:num w:numId="121">
    <w:abstractNumId w:val="1"/>
  </w:num>
  <w:num w:numId="122">
    <w:abstractNumId w:val="1"/>
  </w:num>
  <w:num w:numId="123">
    <w:abstractNumId w:val="1"/>
  </w:num>
  <w:num w:numId="124">
    <w:abstractNumId w:val="3"/>
  </w:num>
  <w:num w:numId="125">
    <w:abstractNumId w:val="3"/>
  </w:num>
  <w:num w:numId="126">
    <w:abstractNumId w:val="3"/>
  </w:num>
  <w:num w:numId="127">
    <w:abstractNumId w:val="3"/>
  </w:num>
  <w:num w:numId="128">
    <w:abstractNumId w:val="3"/>
  </w:num>
  <w:num w:numId="129">
    <w:abstractNumId w:val="3"/>
  </w:num>
  <w:num w:numId="130">
    <w:abstractNumId w:val="3"/>
  </w:num>
  <w:num w:numId="131">
    <w:abstractNumId w:val="3"/>
  </w:num>
  <w:num w:numId="132">
    <w:abstractNumId w:val="3"/>
  </w:num>
  <w:num w:numId="133">
    <w:abstractNumId w:val="3"/>
  </w:num>
  <w:num w:numId="134">
    <w:abstractNumId w:val="3"/>
  </w:num>
  <w:num w:numId="135">
    <w:abstractNumId w:val="3"/>
  </w:num>
  <w:num w:numId="136">
    <w:abstractNumId w:val="3"/>
  </w:num>
  <w:num w:numId="137">
    <w:abstractNumId w:val="3"/>
  </w:num>
  <w:num w:numId="138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libri" w:hAnsi="Calibri" w:eastAsia="Calibri" w:cs="Calibri"/>
      <w:color w:val="auto"/>
      <w:kern w:val="0"/>
      <w:sz w:val="21"/>
      <w:szCs w:val="24"/>
      <w:lang w:val="it-IT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320" w:after="120"/>
      <w:outlineLvl w:val="0"/>
    </w:pPr>
    <w:rPr>
      <w:rFonts w:ascii="Calibri" w:hAnsi="Calibri" w:eastAsia="Calibri" w:cs="Calibri"/>
      <w:b/>
      <w:bCs/>
      <w:i w:val="false"/>
      <w:color w:val="1F3A68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20" w:after="120"/>
      <w:outlineLvl w:val="1"/>
    </w:pPr>
    <w:rPr>
      <w:rFonts w:ascii="Calibri" w:hAnsi="Calibri" w:eastAsia="Calibri" w:cs="Calibri"/>
      <w:b/>
      <w:bCs/>
      <w:i w:val="false"/>
      <w:color w:val="1F3A68"/>
      <w:sz w:val="27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20" w:after="120"/>
      <w:outlineLvl w:val="2"/>
    </w:pPr>
    <w:rPr>
      <w:rFonts w:ascii="Calibri" w:hAnsi="Calibri" w:eastAsia="Calibri" w:cs="Calibri"/>
      <w:b/>
      <w:bCs/>
      <w:i w:val="false"/>
      <w:color w:val="1F3A68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20" w:after="120"/>
      <w:outlineLvl w:val="3"/>
    </w:pPr>
    <w:rPr>
      <w:rFonts w:ascii="Calibri" w:hAnsi="Calibri" w:eastAsia="Calibri" w:cs="Calibri"/>
      <w:b/>
      <w:bCs/>
      <w:i w:val="false"/>
      <w:color w:val="1F3A68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20" w:after="120"/>
      <w:outlineLvl w:val="4"/>
    </w:pPr>
    <w:rPr>
      <w:rFonts w:ascii="Calibri" w:hAnsi="Calibri" w:eastAsia="Calibri" w:cs="Calibri"/>
      <w:b/>
      <w:i w:val="false"/>
      <w:iCs/>
      <w:color w:val="1F3A68"/>
      <w:sz w:val="21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20" w:after="120"/>
      <w:outlineLvl w:val="5"/>
    </w:pPr>
    <w:rPr>
      <w:rFonts w:ascii="Calibri" w:hAnsi="Calibri" w:eastAsia="Calibri" w:cs="Calibri"/>
      <w:b/>
      <w:i w:val="false"/>
      <w:color w:val="1F3A68"/>
      <w:sz w:val="21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 w:eastAsia="Consolas" w:cs="Consolas"/>
      <w:color w:val="8A1F3D"/>
      <w:sz w:val="18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1F5FA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68" w:before="180" w:after="120"/>
    </w:pPr>
    <w:rPr>
      <w:rFonts w:ascii="Calibri" w:hAnsi="Calibri" w:eastAsia="Calibri" w:cs="Calibri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68" w:before="180" w:after="120"/>
    </w:pPr>
    <w:rPr>
      <w:rFonts w:ascii="Calibri" w:hAnsi="Calibri" w:eastAsia="Calibri" w:cs="Calibri"/>
      <w:sz w:val="21"/>
    </w:rPr>
  </w:style>
  <w:style w:type="paragraph" w:styleId="Compact" w:customStyle="1">
    <w:name w:val="Compact"/>
    <w:basedOn w:val="BodyText"/>
    <w:qFormat/>
    <w:pPr>
      <w:spacing w:before="36" w:after="36"/>
    </w:pPr>
    <w:rPr>
      <w:rFonts w:ascii="Calibri" w:hAnsi="Calibri" w:eastAsia="Calibri" w:cs="Calibri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00"/>
      <w:jc w:val="left"/>
    </w:pPr>
    <w:rPr>
      <w:rFonts w:ascii="Calibri" w:hAnsi="Calibri" w:eastAsia="Calibri" w:cs="Calibri"/>
      <w:b/>
      <w:bCs/>
      <w:color w:val="1F3A68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left"/>
    </w:pPr>
    <w:rPr>
      <w:rFonts w:ascii="Calibri" w:hAnsi="Calibri" w:eastAsia="Calibri" w:cs="Calibri"/>
      <w:b w:val="false"/>
      <w:color w:val="444F60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t-IT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t-IT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Normal"/>
    <w:next w:val="BodyText"/>
    <w:uiPriority w:val="39"/>
    <w:unhideWhenUsed/>
    <w:qFormat/>
    <w:pPr>
      <w:spacing w:lineRule="auto" w:line="259" w:before="0" w:after="80"/>
    </w:pPr>
    <w:rPr>
      <w:rFonts w:ascii="Calibri" w:hAnsi="Calibri" w:eastAsia="Calibri" w:cs="Calibri"/>
      <w:b/>
      <w:bCs w:val="false"/>
      <w:color w:val="1F3A68"/>
      <w:sz w:val="34"/>
    </w:rPr>
  </w:style>
  <w:style w:type="paragraph" w:styleId="CoverKicker" w:customStyle="1">
    <w:name w:val="Cover Kicker"/>
    <w:basedOn w:val="Normal"/>
    <w:qFormat/>
    <w:pPr>
      <w:spacing w:before="3000" w:after="80"/>
    </w:pPr>
    <w:rPr>
      <w:rFonts w:ascii="Calibri" w:hAnsi="Calibri" w:eastAsia="Calibri" w:cs="Calibri"/>
      <w:b/>
      <w:color w:val="5A677D"/>
      <w:sz w:val="24"/>
    </w:rPr>
  </w:style>
  <w:style w:type="paragraph" w:styleId="CoverMeta" w:customStyle="1">
    <w:name w:val="Cover Meta"/>
    <w:basedOn w:val="Normal"/>
    <w:qFormat/>
    <w:pPr>
      <w:spacing w:before="160" w:after="80"/>
    </w:pPr>
    <w:rPr>
      <w:rFonts w:ascii="Calibri" w:hAnsi="Calibri" w:eastAsia="Calibri" w:cs="Calibri"/>
      <w:b w:val="false"/>
      <w:color w:val="333333"/>
      <w:sz w:val="21"/>
    </w:rPr>
  </w:style>
  <w:style w:type="paragraph" w:styleId="CoverLabel" w:customStyle="1">
    <w:name w:val="Cover Label"/>
    <w:basedOn w:val="Normal"/>
    <w:qFormat/>
    <w:pPr>
      <w:spacing w:before="520" w:after="80"/>
    </w:pPr>
    <w:rPr>
      <w:rFonts w:ascii="Calibri" w:hAnsi="Calibri" w:eastAsia="Calibri" w:cs="Calibri"/>
      <w:b/>
      <w:color w:val="1F3A68"/>
      <w:sz w:val="21"/>
    </w:rPr>
  </w:style>
  <w:style w:type="paragraph" w:styleId="CoverMember" w:customStyle="1">
    <w:name w:val="Cover Member"/>
    <w:basedOn w:val="Normal"/>
    <w:qFormat/>
    <w:pPr>
      <w:spacing w:before="40" w:after="80"/>
    </w:pPr>
    <w:rPr>
      <w:rFonts w:ascii="Calibri" w:hAnsi="Calibri" w:eastAsia="Calibri" w:cs="Calibri"/>
      <w:b w:val="false"/>
      <w:color w:val="222222"/>
      <w:sz w:val="22"/>
    </w:rPr>
  </w:style>
  <w:style w:type="paragraph" w:styleId="SourceCode" w:customStyle="1">
    <w:name w:val="Source Code"/>
    <w:basedOn w:val="Normal"/>
    <w:qFormat/>
    <w:pPr>
      <w:shd w:val="clear" w:color="auto" w:fill="F3F5F8"/>
      <w:spacing w:lineRule="auto" w:line="240" w:before="0" w:after="0"/>
    </w:pPr>
    <w:rPr>
      <w:rFonts w:ascii="Consolas" w:hAnsi="Consolas" w:eastAsia="Consolas" w:cs="Consolas"/>
      <w:sz w:val="17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412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129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ariospaceforuni.atlassian.net/browse/BIB-65" TargetMode="External"/><Relationship Id="rId3" Type="http://schemas.openxmlformats.org/officeDocument/2006/relationships/hyperlink" Target="https://github.com/mariocelzo/biblioflow-app/pull/49" TargetMode="External"/><Relationship Id="rId4" Type="http://schemas.openxmlformats.org/officeDocument/2006/relationships/hyperlink" Target="https://mariospaceforuni.atlassian.net/browse/BIB-16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mariospaceforuni.atlassian.net/browse/BIB-18" TargetMode="External"/><Relationship Id="rId8" Type="http://schemas.openxmlformats.org/officeDocument/2006/relationships/hyperlink" Target="https://github.com/mariocelzo/biblioflow-app/pull/8" TargetMode="External"/><Relationship Id="rId9" Type="http://schemas.openxmlformats.org/officeDocument/2006/relationships/hyperlink" Target="https://github.com/mariocelzo/biblioflow-app/pull/7" TargetMode="External"/><Relationship Id="rId10" Type="http://schemas.openxmlformats.org/officeDocument/2006/relationships/hyperlink" Target="https://mariospaceforuni.atlassian.net/browse/BIB-64" TargetMode="Externa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30</Pages>
  <Words>7264</Words>
  <Characters>46994</Characters>
  <CharactersWithSpaces>53158</CharactersWithSpaces>
  <Paragraphs>1125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2026-10-13T11:14:29Z</dcterms:created>
  <dc:creator/>
  <dc:description/>
  <dc:language>it-IT</dc:language>
  <cp:lastModifiedBy/>
  <dcterms:modified xsi:type="dcterms:W3CDTF">2026-10-13T13:14:36Z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