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Kicker"/>
        <w:spacing w:before="3000" w:after="80"/>
        <w:rPr/>
      </w:pPr>
      <w:r>
        <w:rPr/>
        <w:t>BiblioFlow — Change request CR-BF-01</w:t>
      </w:r>
    </w:p>
    <w:p>
      <w:pPr>
        <w:pStyle w:val="Title"/>
        <w:rPr/>
      </w:pPr>
      <w:r>
        <w:rPr/>
        <w:t>Report di esecuzione dei test sulle parti aggiunte e modificate</w:t>
      </w:r>
    </w:p>
    <w:p>
      <w:pPr>
        <w:pStyle w:val="CoverMeta"/>
        <w:rPr/>
      </w:pPr>
      <w:r>
        <w:rPr/>
        <w:t>Ingegneria, Gestione ed Evoluzione del Software — A.A. 2025/2026</w:t>
      </w:r>
    </w:p>
    <w:p>
      <w:pPr>
        <w:pStyle w:val="CoverLabel"/>
        <w:rPr/>
      </w:pPr>
      <w:r>
        <w:rPr/>
        <w:t>Gruppo</w:t>
      </w:r>
    </w:p>
    <w:p>
      <w:pPr>
        <w:pStyle w:val="CoverMember"/>
        <w:rPr/>
      </w:pPr>
      <w:r>
        <w:rPr/>
        <w:t>Mario Celzo — NF22500193</w:t>
      </w:r>
    </w:p>
    <w:p>
      <w:pPr>
        <w:pStyle w:val="CoverMember"/>
        <w:rPr/>
      </w:pPr>
      <w:r>
        <w:rPr/>
        <w:t>Renato Mancino — NF22500242</w:t>
      </w:r>
    </w:p>
    <w:p>
      <w:pPr>
        <w:pStyle w:val="CoverMember"/>
        <w:rPr/>
      </w:pPr>
      <w:r>
        <w:rPr/>
        <w:t>Alfonso Maria Ferrara — NF22500210</w:t>
      </w:r>
    </w:p>
    <w:p>
      <w:pPr>
        <w:pStyle w:val="CoverMeta"/>
        <w:rPr/>
      </w:pPr>
      <w:r>
        <w:rPr/>
        <w:t xml:space="preserve">Repository: https://github.com/mariocelzo/biblioflow-app — codice verificato al commit </w:t>
      </w:r>
      <w:r>
        <w:rPr>
          <w:rStyle w:val="VerbatimChar"/>
        </w:rPr>
        <w:t>066f198</w:t>
      </w:r>
    </w:p>
    <w:p>
      <w:pPr>
        <w:pStyle w:val="CoverMeta"/>
        <w:rPr/>
      </w:pPr>
      <w:r>
        <w:rPr/>
        <w:t>Data: 13 ottobre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80"/>
        <w:rPr/>
      </w:pPr>
      <w:r>
        <w:rPr/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250_3672760668">
            <w:r>
              <w:rPr>
                <w:webHidden/>
                <w:rStyle w:val="IndexLink"/>
              </w:rPr>
              <w:t>Identificazione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52_3672760668">
            <w:r>
              <w:rPr>
                <w:webHidden/>
                <w:rStyle w:val="IndexLink"/>
              </w:rPr>
              <w:t>Ambiente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54_3672760668">
            <w:r>
              <w:rPr>
                <w:webHidden/>
                <w:rStyle w:val="IndexLink"/>
              </w:rPr>
              <w:t>Comandi eseguiti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56_3672760668">
            <w:r>
              <w:rPr>
                <w:webHidden/>
                <w:rStyle w:val="IndexLink"/>
              </w:rPr>
              <w:t>Esito complessivo locale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58_3672760668">
            <w:r>
              <w:rPr>
                <w:webHidden/>
                <w:rStyle w:val="IndexLink"/>
              </w:rPr>
              <w:t>Evidenza CI sulla stessa revisione di main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60_3672760668">
            <w:r>
              <w:rPr>
                <w:webHidden/>
                <w:rStyle w:val="IndexLink"/>
              </w:rPr>
              <w:t>Esiti dei casi AGGIUNTI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62_3672760668">
            <w:r>
              <w:rPr>
                <w:webHidden/>
                <w:rStyle w:val="IndexLink"/>
              </w:rPr>
              <w:t>Esiti dei casi MODIFICATI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64_3672760668">
            <w:r>
              <w:rPr>
                <w:webHidden/>
                <w:rStyle w:val="IndexLink"/>
              </w:rPr>
              <w:t>Criteri di accettazione CA-01…CA-05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5266_3672760668">
            <w:r>
              <w:rPr>
                <w:webHidden/>
                <w:rStyle w:val="IndexLink"/>
              </w:rPr>
              <w:t>Conclusione BIB-61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5250_3672760668"/>
      <w:bookmarkEnd w:id="0"/>
      <w:r>
        <w:rPr/>
        <w:t>Identificazione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Campo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Valore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Task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BIB-61 — Report di esecuzione dei test sulle parti modificate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 — test post-modifica e regressione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Commit applicativo verificato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adc5e30639d1e66aa84df88194979bcd443282ed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Branch applicativo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origin/main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dopo i merge delle Fasi 4 e 5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Data esecuzione locale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 settembre 2026, Europe/Rome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Specifica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BIB-60,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docs/test/spec-post-modifica.md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 PR #43</w:t>
            </w:r>
            <w:bookmarkStart w:id="1" w:name="identificazione"/>
            <w:bookmarkEnd w:id="1"/>
          </w:p>
        </w:tc>
      </w:tr>
    </w:tbl>
    <w:p>
      <w:pPr>
        <w:pStyle w:val="Heading1"/>
        <w:rPr/>
      </w:pPr>
      <w:bookmarkStart w:id="2" w:name="__RefHeading___Toc15252_3672760668"/>
      <w:bookmarkEnd w:id="2"/>
      <w:r>
        <w:rPr/>
        <w:t>Ambiente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Versione / configurazione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Sistema operativo locale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Windows 11 Pro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10.0.26200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Node.js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v22.12.0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npm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10.9.0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Git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2.50.1.windows.1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Docker Engine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29.1.3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Database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PostgreSQL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16-alpine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effimero, loopback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127.0.0.1:5433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ORM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Prisma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7.10.0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Test runner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Vitest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4.1.11</w:t>
            </w:r>
          </w:p>
        </w:tc>
      </w:tr>
    </w:tbl>
    <w:p>
      <w:pPr>
        <w:pStyle w:val="BodyText"/>
        <w:rPr/>
      </w:pPr>
      <w:r>
        <w:rPr/>
        <w:t xml:space="preserve">Il database è stato creato con </w:t>
      </w:r>
      <w:r>
        <w:rPr>
          <w:rStyle w:val="VerbatimChar"/>
        </w:rPr>
        <w:t>npm run test:db:prepare</w:t>
      </w:r>
      <w:r>
        <w:rPr/>
        <w:t xml:space="preserve">: le sette migrazioni versionate sono state applicate con successo, lo schema è stato riallineato e la fixture minima è stata caricata. Il primo tentativo ha correttamente fallito quando Docker Desktop non era attivo; dopo l’avvio e la rimozione di un vecchio container di test spento appartenente al worktree </w:t>
      </w:r>
      <w:r>
        <w:rPr>
          <w:rStyle w:val="VerbatimChar"/>
        </w:rPr>
        <w:t>bib-49</w:t>
      </w:r>
      <w:r>
        <w:rPr/>
        <w:t>, la preparazione è terminata senza errori. Non è stato usato il database Supabase condiviso.</w:t>
      </w:r>
    </w:p>
    <w:p>
      <w:pPr>
        <w:pStyle w:val="Heading1"/>
        <w:rPr/>
      </w:pPr>
      <w:bookmarkStart w:id="3" w:name="__RefHeading___Toc15254_3672760668"/>
      <w:bookmarkStart w:id="4" w:name="comandi-eseguiti"/>
      <w:bookmarkEnd w:id="3"/>
      <w:r>
        <w:rPr/>
        <w:t>Comandi eseguiti</w:t>
      </w:r>
    </w:p>
    <w:p>
      <w:pPr>
        <w:pStyle w:val="SourceCode"/>
        <w:rPr/>
      </w:pPr>
      <w:r>
        <w:rPr>
          <w:rStyle w:val="NormalTok"/>
        </w:rPr>
        <w:t>npm ci</w:t>
      </w:r>
      <w:r>
        <w:rPr/>
        <w:br/>
      </w:r>
      <w:r>
        <w:rPr>
          <w:rStyle w:val="NormalTok"/>
        </w:rPr>
        <w:t>npm run test</w:t>
      </w:r>
      <w:r>
        <w:rPr>
          <w:rStyle w:val="OperatorTok"/>
        </w:rPr>
        <w:t>:</w:t>
      </w:r>
      <w:r>
        <w:rPr>
          <w:rStyle w:val="NormalTok"/>
        </w:rPr>
        <w:t>db</w:t>
      </w:r>
      <w:r>
        <w:rPr>
          <w:rStyle w:val="OperatorTok"/>
        </w:rPr>
        <w:t>:</w:t>
      </w:r>
      <w:r>
        <w:rPr>
          <w:rStyle w:val="NormalTok"/>
        </w:rPr>
        <w:t>prepare</w:t>
      </w:r>
      <w:r>
        <w:rPr/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NormalTok"/>
        </w:rPr>
        <w:t>DATABASE_URL</w:t>
      </w:r>
      <w:r>
        <w:rPr>
          <w:rStyle w:val="OperatorTok"/>
        </w:rPr>
        <w:t>=</w:t>
      </w:r>
      <w:r>
        <w:rPr>
          <w:rStyle w:val="StringTok"/>
        </w:rPr>
        <w:t>'postgresql://biblioflow_test@127.0.0.1:5433/biblioflow_test?schema=public'</w:t>
      </w:r>
      <w:r>
        <w:rPr/>
        <w:br/>
      </w:r>
      <w:r>
        <w:rPr>
          <w:rStyle w:val="NormalTok"/>
        </w:rPr>
        <w:t>npm test</w:t>
      </w:r>
      <w:r>
        <w:rPr/>
        <w:br/>
      </w:r>
      <w:r>
        <w:rPr>
          <w:rStyle w:val="NormalTok"/>
        </w:rPr>
        <w:t>npm run lint</w:t>
      </w:r>
      <w:r>
        <w:rPr/>
        <w:br/>
      </w:r>
      <w:r>
        <w:rPr>
          <w:rStyle w:val="NormalTok"/>
        </w:rPr>
        <w:t xml:space="preserve">npx tsc </w:t>
      </w:r>
      <w:r>
        <w:rPr>
          <w:rStyle w:val="OperatorTok"/>
        </w:rPr>
        <w:t>--</w:t>
      </w:r>
      <w:r>
        <w:rPr>
          <w:rStyle w:val="NormalTok"/>
        </w:rPr>
        <w:t>noEmit</w:t>
      </w:r>
      <w:r>
        <w:rPr/>
        <w:br/>
      </w:r>
      <w:r>
        <w:rPr>
          <w:rStyle w:val="NormalTok"/>
        </w:rPr>
        <w:t>npm run build</w:t>
      </w:r>
      <w:r>
        <w:rPr/>
        <w:br/>
      </w:r>
      <w:r>
        <w:rPr>
          <w:rStyle w:val="NormalTok"/>
        </w:rPr>
        <w:t xml:space="preserve">npm audit </w:t>
      </w:r>
      <w:r>
        <w:rPr>
          <w:rStyle w:val="OperatorTok"/>
        </w:rPr>
        <w:t>--</w:t>
      </w:r>
      <w:r>
        <w:rPr>
          <w:rStyle w:val="NormalTok"/>
        </w:rPr>
        <w:t>audit</w:t>
      </w:r>
      <w:r>
        <w:rPr>
          <w:rStyle w:val="OperatorTok"/>
        </w:rPr>
        <w:t>-</w:t>
      </w:r>
      <w:r>
        <w:rPr>
          <w:rStyle w:val="NormalTok"/>
        </w:rPr>
        <w:t>level</w:t>
      </w:r>
      <w:r>
        <w:rPr>
          <w:rStyle w:val="OperatorTok"/>
        </w:rPr>
        <w:t>=</w:t>
      </w:r>
      <w:r>
        <w:rPr>
          <w:rStyle w:val="NormalTok"/>
        </w:rPr>
        <w:t>high</w:t>
      </w:r>
    </w:p>
    <w:p>
      <w:pPr>
        <w:pStyle w:val="FirstParagraph"/>
        <w:rPr/>
      </w:pPr>
      <w:r>
        <w:rPr/>
        <w:t xml:space="preserve">I valori locali di </w:t>
      </w:r>
      <w:r>
        <w:rPr>
          <w:rStyle w:val="VerbatimChar"/>
        </w:rPr>
        <w:t>NEXTAUTH_SECRET</w:t>
      </w:r>
      <w:r>
        <w:rPr/>
        <w:t xml:space="preserve"> e </w:t>
      </w:r>
      <w:r>
        <w:rPr>
          <w:rStyle w:val="VerbatimChar"/>
        </w:rPr>
        <w:t>CRON_SECRET</w:t>
      </w:r>
      <w:r>
        <w:rPr/>
        <w:t xml:space="preserve"> erano placeholder effimeri non di produzione e non sono stati salvati nel repository.</w:t>
      </w:r>
      <w:bookmarkEnd w:id="4"/>
    </w:p>
    <w:p>
      <w:pPr>
        <w:pStyle w:val="Heading1"/>
        <w:rPr/>
      </w:pPr>
      <w:bookmarkStart w:id="5" w:name="__RefHeading___Toc15256_3672760668"/>
      <w:bookmarkStart w:id="6" w:name="esito-complessivo-locale"/>
      <w:bookmarkEnd w:id="5"/>
      <w:r>
        <w:rPr/>
        <w:t>Esito complessivo locale</w:t>
      </w:r>
    </w:p>
    <w:p>
      <w:pPr>
        <w:pStyle w:val="SourceCode"/>
        <w:rPr/>
      </w:pPr>
      <w:r>
        <w:rPr>
          <w:rStyle w:val="VerbatimChar"/>
        </w:rPr>
        <w:t>Test Files  21 passed (21)</w:t>
      </w:r>
      <w:r>
        <w:rPr/>
        <w:br/>
      </w:r>
      <w:r>
        <w:rPr>
          <w:rStyle w:val="VerbatimChar"/>
        </w:rPr>
        <w:t>Tests       179 passed | 2 expected fail (181)</w:t>
      </w:r>
      <w:r>
        <w:rPr/>
        <w:br/>
      </w:r>
      <w:r>
        <w:rPr>
          <w:rStyle w:val="VerbatimChar"/>
        </w:rPr>
        <w:t>Duration    3.72s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Controllo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Dettaglio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Installazione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863 pacchetti installati con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ci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Prisma Client generato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Migrazioni/fixture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7/7 migrazioni; database sincronizzato; fixture caricata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post-modifica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 tecnico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21/21 file; 179 pass; 2 expected fail; exit code 0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Lint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errori, 24 warning preesistenti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TypeScript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errori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Build Next.js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compilazione, typecheck e 43 pagine statiche completati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Audit high/critical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high/critical; 2 moderate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@humanfs/node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qs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</w:tbl>
    <w:p>
      <w:pPr>
        <w:pStyle w:val="BodyText"/>
        <w:rPr/>
      </w:pPr>
      <w:bookmarkStart w:id="7" w:name="esito-complessivo-locale"/>
      <w:r>
        <w:rPr/>
        <w:t>I warning di lint, le deprecazioni Sentry/Next middleware e le due vulnerabilità moderate non sono stati corretti: sono fuori dal perimetro documentale di BIB-61 e non rendono rosso alcun gate definito dalla pipeline.</w:t>
      </w:r>
      <w:bookmarkEnd w:id="7"/>
    </w:p>
    <w:p>
      <w:pPr>
        <w:pStyle w:val="Heading1"/>
        <w:rPr/>
      </w:pPr>
      <w:bookmarkStart w:id="8" w:name="__RefHeading___Toc15258_3672760668"/>
      <w:bookmarkEnd w:id="8"/>
      <w:r>
        <w:rPr/>
        <w:t xml:space="preserve">Evidenza CI sulla stessa revisione di </w:t>
      </w:r>
      <w:r>
        <w:rPr>
          <w:rStyle w:val="VerbatimChar"/>
        </w:rPr>
        <w:t>main</w:t>
      </w:r>
    </w:p>
    <w:p>
      <w:pPr>
        <w:pStyle w:val="FirstParagraph"/>
        <w:rPr/>
      </w:pPr>
      <w:r>
        <w:rPr/>
        <w:t xml:space="preserve">La GitHub Actions run </w:t>
      </w:r>
      <w:hyperlink r:id="rId2">
        <w:r>
          <w:rPr>
            <w:rStyle w:val="Hyperlink"/>
          </w:rPr>
          <w:t>33787431551</w:t>
        </w:r>
      </w:hyperlink>
      <w:r>
        <w:rPr/>
        <w:t xml:space="preserve"> ha verificato lo stesso commit </w:t>
      </w:r>
      <w:r>
        <w:rPr>
          <w:rStyle w:val="VerbatimChar"/>
        </w:rPr>
        <w:t>adc5e30</w:t>
      </w:r>
      <w:r>
        <w:rPr/>
        <w:t xml:space="preserve"> su Ubuntu 24.04, Node 20.20.2 e PostgreSQL 16. Tutti i cinque job si sono conclusi con </w:t>
      </w:r>
      <w:r>
        <w:rPr>
          <w:rStyle w:val="VerbatimChar"/>
        </w:rPr>
        <w:t>success</w:t>
      </w:r>
      <w:r>
        <w:rPr/>
        <w:t>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Job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test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3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log job</w:t>
              </w:r>
            </w:hyperlink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— 21 file passati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lint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4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log job</w:t>
              </w:r>
            </w:hyperlink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typecheck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5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log job</w:t>
              </w:r>
            </w:hyperlink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build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6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log job</w:t>
              </w:r>
            </w:hyperlink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audit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7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log job</w:t>
              </w:r>
            </w:hyperlink>
            <w:bookmarkStart w:id="9" w:name="X5ca126d668d85463a16aa486d41a39a9289063a"/>
            <w:bookmarkEnd w:id="9"/>
          </w:p>
        </w:tc>
      </w:tr>
    </w:tbl>
    <w:p>
      <w:pPr>
        <w:pStyle w:val="Heading1"/>
        <w:rPr/>
      </w:pPr>
      <w:bookmarkStart w:id="10" w:name="__RefHeading___Toc15260_3672760668"/>
      <w:bookmarkEnd w:id="10"/>
      <w:r>
        <w:rPr/>
        <w:t>Esiti dei casi AGGIUNTI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896"/>
        <w:gridCol w:w="2171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 / famiglia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Casi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Criteri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2 — vincoli DB e dominio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41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41 conformi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CA-02, CA-03, CA-04, CA-05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3 — API auth/ownership e concorrenza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8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8 conformi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CA-02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4 — automazioni, notifiche e realtime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72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72 conformi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CA-04, CA-05,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5 — admin e UI, esclusi i target BIB-57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58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58 conformi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CA-03, CA-04, CA-05,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BIB-57 — target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expected fail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 non completamente soddisfatto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Totale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181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179 conformi, 2 target non soddisfatti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Cs w:val="24"/>
                <w:lang w:val="it-IT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Gli </w:t>
      </w:r>
      <w:r>
        <w:rPr>
          <w:rStyle w:val="VerbatimChar"/>
        </w:rPr>
        <w:t>expected fail</w:t>
      </w:r>
      <w:r>
        <w:rPr/>
        <w:t xml:space="preserve"> non sono flakiness né errori d’ambiente. Vitest li considera esiti attesi perché sono dichiarati con </w:t>
      </w:r>
      <w:r>
        <w:rPr>
          <w:rStyle w:val="VerbatimChar"/>
        </w:rPr>
        <w:t>it.fails</w:t>
      </w:r>
      <w:r>
        <w:rPr/>
        <w:t>, ma descrivono requisiti di sicurezza ancora mancanti: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</w:rPr>
        <w:t>TC-BIB57-051</w:t>
      </w:r>
      <w:r>
        <w:rPr/>
        <w:t xml:space="preserve">: uno STUDENTE su </w:t>
      </w:r>
      <w:r>
        <w:rPr>
          <w:rStyle w:val="VerbatimChar"/>
        </w:rPr>
        <w:t>GET /api/admin/posti/[id]</w:t>
      </w:r>
      <w:r>
        <w:rPr/>
        <w:t xml:space="preserve"> dovrebbe ricevere 403, mentre il route handler verifica soltanto l’esistenza della sessione;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TC-BIB57-054</w:t>
      </w:r>
      <w:r>
        <w:rPr/>
        <w:t xml:space="preserve">: uno STUDENTE su </w:t>
      </w:r>
      <w:r>
        <w:rPr>
          <w:rStyle w:val="VerbatimChar"/>
        </w:rPr>
        <w:t>GET /api/admin/richieste</w:t>
      </w:r>
      <w:r>
        <w:rPr/>
        <w:t xml:space="preserve"> dovrebbe ricevere 403; lo stesso handler non protegge neppure il </w:t>
      </w:r>
      <w:r>
        <w:rPr>
          <w:rStyle w:val="VerbatimChar"/>
        </w:rPr>
        <w:t>PATCH</w:t>
      </w:r>
      <w:r>
        <w:rPr/>
        <w:t xml:space="preserve"> senza sessione, come caratterizzato da </w:t>
      </w:r>
      <w:r>
        <w:rPr>
          <w:rStyle w:val="VerbatimChar"/>
        </w:rPr>
        <w:t>TC-BIB57-052</w:t>
      </w:r>
      <w:r>
        <w:rPr/>
        <w:t xml:space="preserve"> e </w:t>
      </w:r>
      <w:r>
        <w:rPr>
          <w:rStyle w:val="VerbatimChar"/>
        </w:rPr>
        <w:t>TC-BIB57-053</w:t>
      </w:r>
      <w:r>
        <w:rPr/>
        <w:t>.</w:t>
      </w:r>
    </w:p>
    <w:p>
      <w:pPr>
        <w:pStyle w:val="Heading1"/>
        <w:rPr/>
      </w:pPr>
      <w:bookmarkStart w:id="11" w:name="__RefHeading___Toc15262_3672760668"/>
      <w:bookmarkEnd w:id="11"/>
      <w:r>
        <w:rPr/>
        <w:t>Esiti dei casi MODIFICATI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baseline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 post-modifica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principale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identità sessione +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TC-BIB31-001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transazione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Serializable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 centralizzata prima delle scritture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TC-BIB27-012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013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PASS, differenza voluta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TC-BIB27-005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: intervallo invertito ora rifiutato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TC-PRE-005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BIB-24 DB, BIB-31 e concorrenza reale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TC-PRE-006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ownership e promozione idempotente su cancellazione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TC-PRE-007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PASS, differenza voluta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data e campo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Time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ricomposti correttamente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TC-PRE-008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percorso legacy sottoposto a sessione/ownership/stati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TC-PRE-009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con regole centralizzate e conflitto coerente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TC-PRE-010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PASS, differenza voluta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durata calcolata sul giorno della prenotazione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TC-BIB49-001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promozione dopo cancellazione admin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payload non autorevole + proposta ingresso in coda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percorso libero invariato e percorso conflitto→coda aggiunto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TC-BIB40-001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TC-BIB47-001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  <w:bookmarkStart w:id="12" w:name="esiti-dei-casi-modificati"/>
            <w:bookmarkEnd w:id="12"/>
          </w:p>
        </w:tc>
      </w:tr>
    </w:tbl>
    <w:p>
      <w:pPr>
        <w:pStyle w:val="Heading1"/>
        <w:rPr/>
      </w:pPr>
      <w:bookmarkStart w:id="13" w:name="__RefHeading___Toc15264_3672760668"/>
      <w:bookmarkEnd w:id="13"/>
      <w:r>
        <w:rPr/>
        <w:t>Criteri di accettazione CA-01…CA-05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eseguita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Valutazione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 — accesso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BIB-26; auth API Fase 3; BIB-51; BIB-56; BIB-57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PARZIALE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: i flussi prenotazione/coda e la maggioranza delle rotte admin sono conformi; restano i gap BIB-57 sopra descritti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 — concorrenza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BIB-24 DB; BIB-27/31; due casi PostgreSQL concorrenti con round ripetuti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 — lista d’attesa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BIB-23 DB; BIB-31; BIB-52/53/54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 — riassegnazione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BIB-31/40/41/44/47/49/58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 — tracciabilità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BIB-31/42/45/46/47/58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</w:tr>
    </w:tbl>
    <w:p>
      <w:pPr>
        <w:pStyle w:val="Heading1"/>
        <w:rPr/>
      </w:pPr>
      <w:bookmarkStart w:id="14" w:name="__RefHeading___Toc15266_3672760668"/>
      <w:bookmarkEnd w:id="14"/>
      <w:r>
        <w:rPr/>
        <w:t>Conclusione BIB-61</w:t>
      </w:r>
    </w:p>
    <w:p>
      <w:pPr>
        <w:pStyle w:val="FirstParagraph"/>
        <w:rPr/>
      </w:pPr>
      <w:r>
        <w:rPr/>
        <w:t xml:space="preserve">La suite post-modifica e tutti i gate tecnici sono riproducibili e verdi. CA-02, CA-03, CA-04 e CA-05 dispongono di prove positive complete. CA-01 dispone di copertura automatizzata, ma non può essere dichiarato integralmente soddisfatto: i due </w:t>
      </w:r>
      <w:r>
        <w:rPr>
          <w:rStyle w:val="VerbatimChar"/>
        </w:rPr>
        <w:t>expected fail</w:t>
      </w:r>
      <w:r>
        <w:rPr/>
        <w:t xml:space="preserve"> sono evidenza di un gap funzionale, non test ignorati.</w:t>
      </w:r>
    </w:p>
    <w:p>
      <w:pPr>
        <w:pStyle w:val="BodyText"/>
        <w:spacing w:lineRule="auto" w:line="268" w:before="180" w:after="120"/>
        <w:rPr/>
      </w:pPr>
      <w:r>
        <w:rPr/>
        <w:t>Il report di regressione BIB-62 deve ora verificare i 20 casi invariati. La verifica finale BIB-63 dovrà mantenere CA-01 in stato non conforme finché i route handler di competenza admin non saranno corretti dal responsabile d’area o formalmente esclusi dal perimetro della change request.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247" w:right="1247" w:gutter="0" w:header="720" w:top="1247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707070"/>
        <w:sz w:val="17"/>
      </w:rPr>
      <w:t>BiblioFlow — CR-BF-01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20" w:after="120"/>
      <w:outlineLvl w:val="0"/>
    </w:pPr>
    <w:rPr>
      <w:rFonts w:ascii="Calibri" w:hAnsi="Calibri" w:eastAsia="Calibri" w:cs="Calibri"/>
      <w:b/>
      <w:bCs/>
      <w:i w:val="false"/>
      <w:color w:val="1F3A6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20" w:after="120"/>
      <w:outlineLvl w:val="1"/>
    </w:pPr>
    <w:rPr>
      <w:rFonts w:ascii="Calibri" w:hAnsi="Calibri" w:eastAsia="Calibri" w:cs="Calibri"/>
      <w:b/>
      <w:bCs/>
      <w:i w:val="false"/>
      <w:color w:val="1F3A6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20" w:after="120"/>
      <w:outlineLvl w:val="2"/>
    </w:pPr>
    <w:rPr>
      <w:rFonts w:ascii="Calibri" w:hAnsi="Calibri" w:eastAsia="Calibri" w:cs="Calibri"/>
      <w:b/>
      <w:bCs/>
      <w:i w:val="false"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20" w:after="120"/>
      <w:outlineLvl w:val="3"/>
    </w:pPr>
    <w:rPr>
      <w:rFonts w:ascii="Calibri" w:hAnsi="Calibri" w:eastAsia="Calibri" w:cs="Calibri"/>
      <w:b/>
      <w:bCs/>
      <w:i w:val="false"/>
      <w:color w:val="1F3A68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20" w:after="120"/>
      <w:outlineLvl w:val="4"/>
    </w:pPr>
    <w:rPr>
      <w:rFonts w:ascii="Calibri" w:hAnsi="Calibri" w:eastAsia="Calibri" w:cs="Calibri"/>
      <w:b/>
      <w:i w:val="false"/>
      <w:iCs/>
      <w:color w:val="1F3A68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20" w:after="120"/>
      <w:outlineLvl w:val="5"/>
    </w:pPr>
    <w:rPr>
      <w:rFonts w:ascii="Calibri" w:hAnsi="Calibri" w:eastAsia="Calibri" w:cs="Calibri"/>
      <w:b/>
      <w:i w:val="false"/>
      <w:color w:val="1F3A68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8A1F3D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1F5FA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00"/>
      <w:jc w:val="left"/>
    </w:pPr>
    <w:rPr>
      <w:rFonts w:ascii="Calibri" w:hAnsi="Calibri" w:eastAsia="Calibri" w:cs="Calibri"/>
      <w:b/>
      <w:bCs/>
      <w:color w:val="1F3A68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left"/>
    </w:pPr>
    <w:rPr>
      <w:rFonts w:ascii="Calibri" w:hAnsi="Calibri" w:eastAsia="Calibri" w:cs="Calibri"/>
      <w:b w:val="false"/>
      <w:color w:val="444F6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BodyText"/>
    <w:uiPriority w:val="39"/>
    <w:unhideWhenUsed/>
    <w:qFormat/>
    <w:pPr>
      <w:spacing w:lineRule="auto" w:line="259" w:before="0" w:after="80"/>
    </w:pPr>
    <w:rPr>
      <w:rFonts w:ascii="Calibri" w:hAnsi="Calibri" w:eastAsia="Calibri" w:cs="Calibri"/>
      <w:b/>
      <w:bCs w:val="false"/>
      <w:color w:val="1F3A68"/>
      <w:sz w:val="34"/>
    </w:rPr>
  </w:style>
  <w:style w:type="paragraph" w:styleId="CoverKicker" w:customStyle="1">
    <w:name w:val="Cover Kicker"/>
    <w:basedOn w:val="Normal"/>
    <w:qFormat/>
    <w:pPr>
      <w:spacing w:before="3000" w:after="80"/>
    </w:pPr>
    <w:rPr>
      <w:rFonts w:ascii="Calibri" w:hAnsi="Calibri" w:eastAsia="Calibri" w:cs="Calibri"/>
      <w:b/>
      <w:color w:val="5A677D"/>
      <w:sz w:val="24"/>
    </w:rPr>
  </w:style>
  <w:style w:type="paragraph" w:styleId="CoverMeta" w:customStyle="1">
    <w:name w:val="Cover Meta"/>
    <w:basedOn w:val="Normal"/>
    <w:qFormat/>
    <w:pPr>
      <w:spacing w:before="160" w:after="80"/>
    </w:pPr>
    <w:rPr>
      <w:rFonts w:ascii="Calibri" w:hAnsi="Calibri" w:eastAsia="Calibri" w:cs="Calibri"/>
      <w:b w:val="false"/>
      <w:color w:val="333333"/>
      <w:sz w:val="21"/>
    </w:rPr>
  </w:style>
  <w:style w:type="paragraph" w:styleId="CoverLabel" w:customStyle="1">
    <w:name w:val="Cover Label"/>
    <w:basedOn w:val="Normal"/>
    <w:qFormat/>
    <w:pPr>
      <w:spacing w:before="520" w:after="80"/>
    </w:pPr>
    <w:rPr>
      <w:rFonts w:ascii="Calibri" w:hAnsi="Calibri" w:eastAsia="Calibri" w:cs="Calibri"/>
      <w:b/>
      <w:color w:val="1F3A68"/>
      <w:sz w:val="21"/>
    </w:rPr>
  </w:style>
  <w:style w:type="paragraph" w:styleId="CoverMember" w:customStyle="1">
    <w:name w:val="Cover Member"/>
    <w:basedOn w:val="Normal"/>
    <w:qFormat/>
    <w:pPr>
      <w:spacing w:before="40" w:after="80"/>
    </w:pPr>
    <w:rPr>
      <w:rFonts w:ascii="Calibri" w:hAnsi="Calibri" w:eastAsia="Calibri" w:cs="Calibri"/>
      <w:b w:val="false"/>
      <w:color w:val="222222"/>
      <w:sz w:val="22"/>
    </w:rPr>
  </w:style>
  <w:style w:type="paragraph" w:styleId="SourceCode" w:customStyle="1">
    <w:name w:val="Source Code"/>
    <w:basedOn w:val="Normal"/>
    <w:qFormat/>
    <w:pPr>
      <w:shd w:val="clear" w:color="auto" w:fill="F3F5F8"/>
      <w:spacing w:lineRule="auto" w:line="240" w:before="0" w:after="0"/>
    </w:pPr>
    <w:rPr>
      <w:rFonts w:ascii="Consolas" w:hAnsi="Consolas" w:eastAsia="Consolas" w:cs="Consolas"/>
      <w:sz w:val="17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412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riocelzo/biblioflow-app/actions/runs/33787431551" TargetMode="External"/><Relationship Id="rId3" Type="http://schemas.openxmlformats.org/officeDocument/2006/relationships/hyperlink" Target="https://github.com/mariocelzo/biblioflow-app/actions/runs/33787431551/job/100755486385" TargetMode="External"/><Relationship Id="rId4" Type="http://schemas.openxmlformats.org/officeDocument/2006/relationships/hyperlink" Target="https://github.com/mariocelzo/biblioflow-app/actions/runs/33787431551/job/100755485770" TargetMode="External"/><Relationship Id="rId5" Type="http://schemas.openxmlformats.org/officeDocument/2006/relationships/hyperlink" Target="https://github.com/mariocelzo/biblioflow-app/actions/runs/33787431551/job/100755486660" TargetMode="External"/><Relationship Id="rId6" Type="http://schemas.openxmlformats.org/officeDocument/2006/relationships/hyperlink" Target="https://github.com/mariocelzo/biblioflow-app/actions/runs/33787431551/job/100755486057" TargetMode="External"/><Relationship Id="rId7" Type="http://schemas.openxmlformats.org/officeDocument/2006/relationships/hyperlink" Target="https://github.com/mariocelzo/biblioflow-app/actions/runs/33787431551/job/100755485965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5</Pages>
  <Words>897</Words>
  <Characters>5588</Characters>
  <CharactersWithSpaces>6302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2026-10-13T11:14:31Z</dcterms:created>
  <dc:creator/>
  <dc:description/>
  <dc:language>it-IT</dc:language>
  <cp:lastModifiedBy/>
  <dcterms:modified xsi:type="dcterms:W3CDTF">2026-10-13T13:14:40Z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