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 w:before="120"/>
        <w:jc w:val="center"/>
      </w:pPr>
      <w:r>
        <w:rPr>
          <w:rFonts w:ascii="Arial" w:cs="Arial" w:eastAsia="Arial" w:hAnsi="Arial"/>
          <w:b/>
          <w:bCs/>
          <w:color w:val="0F172A"/>
          <w:sz w:val="34"/>
          <w:szCs w:val="34"/>
        </w:rPr>
        <w:t xml:space="preserve">PROYECTO: FUTBOLITO 7</w:t>
      </w:r>
    </w:p>
    <w:p>
      <w:pPr>
        <w:spacing w:after="140"/>
        <w:jc w:val="center"/>
      </w:pPr>
      <w:r>
        <w:rPr>
          <w:rFonts w:ascii="Arial" w:cs="Arial" w:eastAsia="Arial" w:hAnsi="Arial"/>
          <w:b/>
          <w:bCs/>
          <w:color w:val="059669"/>
          <w:sz w:val="22"/>
          <w:szCs w:val="22"/>
        </w:rPr>
        <w:t xml:space="preserve">INFORME DE DESCUBRIMIENTO DE NEGOCIO:</w:t>
      </w:r>
      <w:r>
        <w:rPr>
          <w:rFonts w:ascii="Arial" w:cs="Arial" w:eastAsia="Arial" w:hAnsi="Arial"/>
          <w:b/>
          <w:bCs/>
          <w:color w:val="0F172A"/>
          <w:sz w:val="20"/>
          <w:szCs w:val="20"/>
        </w:rPr>
        <w:t xml:space="preserve">
INFORMACIÓN CRÍTICA PARA EL CLIENTE Y SU MODELO OPERATIVO</w:t>
      </w:r>
    </w:p>
    <w:tbl>
      <w:tblPr>
        <w:tblW w:type="pct" w:w="100%"/>
        <w:tblBorders>
          <w:top w:val="none"/>
          <w:left w:val="single" w:color="059669" w:sz="24"/>
          <w:bottom w:val="none"/>
          <w:right w:val="none"/>
          <w:insideH w:val="single" w:color="auto" w:sz="4"/>
          <w:insideV w:val="single" w:color="auto" w:sz="4"/>
        </w:tblBorders>
      </w:tblPr>
      <w:tblGrid>
        <w:gridCol w:w="100"/>
      </w:tblGrid>
      <w:tr>
        <w:tc>
          <w:tcPr>
            <w:shd w:fill="F0FDF4" w:val="clear"/>
            <w:tcMar>
              <w:top w:type="dxa" w:w="100"/>
              <w:left w:type="dxa" w:w="140"/>
              <w:bottom w:type="dxa" w:w="100"/>
              <w:right w:type="dxa" w:w="140"/>
            </w:tcMar>
          </w:tcPr>
          <w:p>
            <w:r>
              <w:rPr>
                <w:rFonts w:ascii="Arial" w:cs="Arial" w:eastAsia="Arial" w:hAnsi="Arial"/>
                <w:b/>
                <w:bCs/>
                <w:color w:val="059669"/>
                <w:sz w:val="21"/>
                <w:szCs w:val="21"/>
              </w:rPr>
              <w:t xml:space="preserve">RESUMEN Y PROPÓSITO DEL INFORME</w:t>
            </w:r>
          </w:p>
          <w:p>
            <w:pPr>
              <w:spacing w:before="30"/>
            </w:pPr>
            <w:r>
              <w:rPr>
                <w:rFonts w:ascii="Arial" w:cs="Arial" w:eastAsia="Arial" w:hAnsi="Arial"/>
                <w:color w:val="1E293B"/>
                <w:sz w:val="19"/>
                <w:szCs w:val="19"/>
              </w:rPr>
              <w:t xml:space="preserve">Este informe responde a la solicitud de perfeccionamiento docente sobre 'Información crítica para el cliente y para su modelo de negocio'. Expone las variables económicas reales de los complejos deportivos de fútbol amateur, sus fuentes de ingresos, estructura de costos y los puntos de fuga financiera que Futbolito 7 resuelve mediante automatización y control de datos.</w:t>
            </w:r>
          </w:p>
        </w:tc>
      </w:tr>
    </w:tbl>
    <w:p>
      <w:pPr>
        <w:spacing w:after="100" w:before="200"/>
      </w:pPr>
      <w:r>
        <w:rPr>
          <w:rFonts w:ascii="Arial" w:cs="Arial" w:eastAsia="Arial" w:hAnsi="Arial"/>
          <w:b/>
          <w:bCs/>
          <w:color w:val="059669"/>
          <w:sz w:val="28"/>
          <w:szCs w:val="28"/>
        </w:rPr>
        <w:t xml:space="preserve">1. El Negocio Real del Cliente: Venta de un Activo Perecible</w:t>
      </w:r>
    </w:p>
    <w:p>
      <w:pPr>
        <w:spacing w:after="60" w:before="40"/>
      </w:pPr>
      <w:r>
        <w:rPr>
          <w:rFonts w:ascii="Arial" w:cs="Arial" w:eastAsia="Arial" w:hAnsi="Arial"/>
          <w:i w:val="false"/>
          <w:iCs w:val="false"/>
          <w:color w:val="1E293B"/>
          <w:sz w:val="21"/>
          <w:szCs w:val="21"/>
        </w:rPr>
        <w:t xml:space="preserve">El cliente objetivo de Futbolito 7 es el dueño o administrador de complejos deportivos comerciales de canchas de fútbol amateur. Su modelo de negocio se basa en la comercialización de un inventario estrictamente perecible: el tiempo de cancha. Un bloque horario de 60 minutos a las 20:00 hrs que no se arrienda o se cancela a última hora es un ingreso irrecuperable que jamás podrá volver a facturarse.</w:t>
      </w:r>
    </w:p>
    <w:p>
      <w:pPr>
        <w:spacing w:after="60" w:before="160"/>
      </w:pPr>
      <w:r>
        <w:rPr>
          <w:rFonts w:ascii="Arial" w:cs="Arial" w:eastAsia="Arial" w:hAnsi="Arial"/>
          <w:b/>
          <w:bCs/>
          <w:color w:val="0F172A"/>
          <w:sz w:val="22"/>
          <w:szCs w:val="22"/>
        </w:rPr>
        <w:t xml:space="preserve">1.1 Fuentes de Ingreso (Revenue Streams)</w:t>
      </w:r>
    </w:p>
    <w:p>
      <w:pPr>
        <w:pStyle w:val="ListParagraph"/>
        <w:numPr>
          <w:ilvl w:val="0"/>
          <w:numId w:val="1"/>
        </w:numPr>
        <w:spacing w:after="50" w:before="30"/>
      </w:pPr>
      <w:r>
        <w:rPr>
          <w:rFonts w:ascii="Arial" w:cs="Arial" w:eastAsia="Arial" w:hAnsi="Arial"/>
          <w:b/>
          <w:bCs/>
          <w:color w:val="0F172A"/>
          <w:sz w:val="20"/>
          <w:szCs w:val="20"/>
        </w:rPr>
        <w:t xml:space="preserve">• Arriendo de Canchas por Hora (80% - 85%): </w:t>
      </w:r>
      <w:r>
        <w:rPr>
          <w:rFonts w:ascii="Arial" w:cs="Arial" w:eastAsia="Arial" w:hAnsi="Arial"/>
          <w:color w:val="334155"/>
          <w:sz w:val="20"/>
          <w:szCs w:val="20"/>
        </w:rPr>
        <w:t xml:space="preserve">Tarifas de mercado en Chile: Horario Valle diurno ($22.000 a $28.000 CLP/hora) y Horario Punta nocturno y fines de semana ($36.000 a $45.000 CLP/hora).</w:t>
      </w:r>
    </w:p>
    <w:p>
      <w:pPr>
        <w:pStyle w:val="ListParagraph"/>
        <w:numPr>
          <w:ilvl w:val="0"/>
          <w:numId w:val="1"/>
        </w:numPr>
        <w:spacing w:after="50" w:before="30"/>
      </w:pPr>
      <w:r>
        <w:rPr>
          <w:rFonts w:ascii="Arial" w:cs="Arial" w:eastAsia="Arial" w:hAnsi="Arial"/>
          <w:b/>
          <w:bCs/>
          <w:color w:val="0F172A"/>
          <w:sz w:val="20"/>
          <w:szCs w:val="20"/>
        </w:rPr>
        <w:t xml:space="preserve">• Tercer Tiempo y Complementos (15% - 20%): </w:t>
      </w:r>
      <w:r>
        <w:rPr>
          <w:rFonts w:ascii="Arial" w:cs="Arial" w:eastAsia="Arial" w:hAnsi="Arial"/>
          <w:color w:val="334155"/>
          <w:sz w:val="20"/>
          <w:szCs w:val="20"/>
        </w:rPr>
        <w:t xml:space="preserve">Venta de bebidas, isotónicas y snacks en cafetería; arriendo de petos y balones; torneos corporativos y escuelas formativas.</w:t>
      </w:r>
    </w:p>
    <w:p>
      <w:pPr>
        <w:spacing w:after="60" w:before="160"/>
      </w:pPr>
      <w:r>
        <w:rPr>
          <w:rFonts w:ascii="Arial" w:cs="Arial" w:eastAsia="Arial" w:hAnsi="Arial"/>
          <w:b/>
          <w:bCs/>
          <w:color w:val="0F172A"/>
          <w:sz w:val="22"/>
          <w:szCs w:val="22"/>
        </w:rPr>
        <w:t xml:space="preserve">1.2 Estructura de Costos del Complejo</w:t>
      </w:r>
    </w:p>
    <w:p>
      <w:pPr>
        <w:pStyle w:val="ListParagraph"/>
        <w:numPr>
          <w:ilvl w:val="0"/>
          <w:numId w:val="1"/>
        </w:numPr>
        <w:spacing w:after="50" w:before="30"/>
      </w:pPr>
      <w:r>
        <w:rPr>
          <w:rFonts w:ascii="Arial" w:cs="Arial" w:eastAsia="Arial" w:hAnsi="Arial"/>
          <w:b/>
          <w:bCs/>
          <w:color w:val="0F172A"/>
          <w:sz w:val="20"/>
          <w:szCs w:val="20"/>
        </w:rPr>
        <w:t xml:space="preserve">• Costos Fijos: </w:t>
      </w:r>
      <w:r>
        <w:rPr>
          <w:rFonts w:ascii="Arial" w:cs="Arial" w:eastAsia="Arial" w:hAnsi="Arial"/>
          <w:color w:val="334155"/>
          <w:sz w:val="20"/>
          <w:szCs w:val="20"/>
        </w:rPr>
        <w:t xml:space="preserve">Arriendo de terreno/concesión, energía eléctrica para iluminación deportiva de alta potencia (LED/halógenos), agua y salarios de personal de recepción.</w:t>
      </w:r>
    </w:p>
    <w:p>
      <w:pPr>
        <w:pStyle w:val="ListParagraph"/>
        <w:numPr>
          <w:ilvl w:val="0"/>
          <w:numId w:val="1"/>
        </w:numPr>
        <w:spacing w:after="50" w:before="30"/>
      </w:pPr>
      <w:r>
        <w:rPr>
          <w:rFonts w:ascii="Arial" w:cs="Arial" w:eastAsia="Arial" w:hAnsi="Arial"/>
          <w:b/>
          <w:bCs/>
          <w:color w:val="0F172A"/>
          <w:sz w:val="20"/>
          <w:szCs w:val="20"/>
        </w:rPr>
        <w:t xml:space="preserve">• Costos Variables: </w:t>
      </w:r>
      <w:r>
        <w:rPr>
          <w:rFonts w:ascii="Arial" w:cs="Arial" w:eastAsia="Arial" w:hAnsi="Arial"/>
          <w:color w:val="334155"/>
          <w:sz w:val="20"/>
          <w:szCs w:val="20"/>
        </w:rPr>
        <w:t xml:space="preserve">Mantenimiento periódico del césped sintético (peinado, reposición de caucho granulado), reposición de mallas y comisiones de pasarelas de pago.</w:t>
      </w:r>
    </w:p>
    <w:p>
      <w:pPr>
        <w:spacing w:after="100" w:before="200"/>
      </w:pPr>
      <w:r>
        <w:rPr>
          <w:rFonts w:ascii="Arial" w:cs="Arial" w:eastAsia="Arial" w:hAnsi="Arial"/>
          <w:b/>
          <w:bCs/>
          <w:color w:val="059669"/>
          <w:sz w:val="28"/>
          <w:szCs w:val="28"/>
        </w:rPr>
        <w:t xml:space="preserve">2. Los 4 Datos Críticos que el Dueño DEBE Conocer</w:t>
      </w:r>
    </w:p>
    <w:p>
      <w:pPr>
        <w:spacing w:after="60" w:before="40"/>
      </w:pPr>
      <w:r>
        <w:rPr>
          <w:rFonts w:ascii="Arial" w:cs="Arial" w:eastAsia="Arial" w:hAnsi="Arial"/>
          <w:i w:val="false"/>
          <w:iCs w:val="false"/>
          <w:color w:val="1E293B"/>
          <w:sz w:val="21"/>
          <w:szCs w:val="21"/>
        </w:rPr>
        <w:t xml:space="preserve">Para no perder dinero ni operar a ciegas, el administrador del complejo necesita visibilidad en tiempo real sobre las siguientes 4 dimensiones críticas:</w:t>
      </w:r>
    </w:p>
    <w:p>
      <w:pPr>
        <w:pStyle w:val="ListParagraph"/>
        <w:numPr>
          <w:ilvl w:val="0"/>
          <w:numId w:val="1"/>
        </w:numPr>
        <w:spacing w:after="50" w:before="30"/>
      </w:pPr>
      <w:r>
        <w:rPr>
          <w:rFonts w:ascii="Arial" w:cs="Arial" w:eastAsia="Arial" w:hAnsi="Arial"/>
          <w:b/>
          <w:bCs/>
          <w:color w:val="0F172A"/>
          <w:sz w:val="20"/>
          <w:szCs w:val="20"/>
        </w:rPr>
        <w:t xml:space="preserve">1. Tasa de Ocupación por Cancha y Franja Horaria (Heatmap): </w:t>
      </w:r>
      <w:r>
        <w:rPr>
          <w:rFonts w:ascii="Arial" w:cs="Arial" w:eastAsia="Arial" w:hAnsi="Arial"/>
          <w:color w:val="334155"/>
          <w:sz w:val="20"/>
          <w:szCs w:val="20"/>
        </w:rPr>
        <w:t xml:space="preserve">El horario punta suele llenarse al 95%, pero el horario valle diurno cae a un crítico 15% - 25%. El dueño necesita monitorear el RevPAH (Revenue Per Available Hour) para aplicar yield management y no tener canchas vacías.</w:t>
      </w:r>
    </w:p>
    <w:p>
      <w:pPr>
        <w:pStyle w:val="ListParagraph"/>
        <w:numPr>
          <w:ilvl w:val="0"/>
          <w:numId w:val="1"/>
        </w:numPr>
        <w:spacing w:after="50" w:before="30"/>
      </w:pPr>
      <w:r>
        <w:rPr>
          <w:rFonts w:ascii="Arial" w:cs="Arial" w:eastAsia="Arial" w:hAnsi="Arial"/>
          <w:b/>
          <w:bCs/>
          <w:color w:val="0F172A"/>
          <w:sz w:val="20"/>
          <w:szCs w:val="20"/>
        </w:rPr>
        <w:t xml:space="preserve">2. Tasa de Cancelación Tardía y No-Show (Partidos Fantasma): </w:t>
      </w:r>
      <w:r>
        <w:rPr>
          <w:rFonts w:ascii="Arial" w:cs="Arial" w:eastAsia="Arial" w:hAnsi="Arial"/>
          <w:color w:val="334155"/>
          <w:sz w:val="20"/>
          <w:szCs w:val="20"/>
        </w:rPr>
        <w:t xml:space="preserve">Cuando un grupo cancela con 30 minutos de anticipación o no se presenta, el complejo pierde entre $36.000 y $45.000 netos. El sistema debe garantizar reservas prepagadas o señas no reembolsables.</w:t>
      </w:r>
    </w:p>
    <w:p>
      <w:pPr>
        <w:pStyle w:val="ListParagraph"/>
        <w:numPr>
          <w:ilvl w:val="0"/>
          <w:numId w:val="1"/>
        </w:numPr>
        <w:spacing w:after="50" w:before="30"/>
      </w:pPr>
      <w:r>
        <w:rPr>
          <w:rFonts w:ascii="Arial" w:cs="Arial" w:eastAsia="Arial" w:hAnsi="Arial"/>
          <w:b/>
          <w:bCs/>
          <w:color w:val="0F172A"/>
          <w:sz w:val="20"/>
          <w:szCs w:val="20"/>
        </w:rPr>
        <w:t xml:space="preserve">3. Cuadratura Exacta de Caja y Prevención de Fugas: </w:t>
      </w:r>
      <w:r>
        <w:rPr>
          <w:rFonts w:ascii="Arial" w:cs="Arial" w:eastAsia="Arial" w:hAnsi="Arial"/>
          <w:color w:val="334155"/>
          <w:sz w:val="20"/>
          <w:szCs w:val="20"/>
        </w:rPr>
        <w:t xml:space="preserve">Al cobrar por WhatsApp o efectivo presencial, proliferan comprobantes bancarios falsos, transferencias a cuentas erróneas o dineros no declarados. El dueño exige trazabilidad entre reservas registradas y pagos efectivamente recaudados.</w:t>
      </w:r>
    </w:p>
    <w:p>
      <w:pPr>
        <w:pStyle w:val="ListParagraph"/>
        <w:numPr>
          <w:ilvl w:val="0"/>
          <w:numId w:val="1"/>
        </w:numPr>
        <w:spacing w:after="50" w:before="30"/>
      </w:pPr>
      <w:r>
        <w:rPr>
          <w:rFonts w:ascii="Arial" w:cs="Arial" w:eastAsia="Arial" w:hAnsi="Arial"/>
          <w:b/>
          <w:bCs/>
          <w:color w:val="0F172A"/>
          <w:sz w:val="20"/>
          <w:szCs w:val="20"/>
        </w:rPr>
        <w:t xml:space="preserve">4. Contingencias Climáticas y Reprogramación: </w:t>
      </w:r>
      <w:r>
        <w:rPr>
          <w:rFonts w:ascii="Arial" w:cs="Arial" w:eastAsia="Arial" w:hAnsi="Arial"/>
          <w:color w:val="334155"/>
          <w:sz w:val="20"/>
          <w:szCs w:val="20"/>
        </w:rPr>
        <w:t xml:space="preserve">En canchas abiertas, la lluvia cancela el 100% de la jornada. El dueño necesita saber rápidamente el saldo a favor de los clientes para reprogramar en lugar de reembolsar dinero líquido.</w:t>
      </w:r>
    </w:p>
    <w:p>
      <w:pPr>
        <w:spacing w:after="100" w:before="200"/>
      </w:pPr>
      <w:r>
        <w:rPr>
          <w:rFonts w:ascii="Arial" w:cs="Arial" w:eastAsia="Arial" w:hAnsi="Arial"/>
          <w:b/>
          <w:bCs/>
          <w:color w:val="059669"/>
          <w:sz w:val="28"/>
          <w:szCs w:val="28"/>
        </w:rPr>
        <w:t xml:space="preserve">3. Matriz de Valor: ¿Cómo Futbolito 7 Impacta el Negocio?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30%"/>
            <w:shd w:fill="0F172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Información Crítica del Negocio</w:t>
            </w:r>
          </w:p>
        </w:tc>
        <w:tc>
          <w:tcPr>
            <w:tcW w:type="pct" w:w="30%"/>
            <w:shd w:fill="0F172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Peligro / Impacto Financiero</w:t>
            </w:r>
          </w:p>
        </w:tc>
        <w:tc>
          <w:tcPr>
            <w:tcW w:type="pct" w:w="40%"/>
            <w:shd w:fill="0F172A" w:val="clear"/>
            <w:tcMar>
              <w:top w:type="dxa" w:w="100"/>
              <w:left w:type="dxa" w:w="120"/>
              <w:bottom w:type="dxa" w:w="100"/>
              <w:right w:type="dxa" w:w="120"/>
            </w:tcMar>
          </w:tcPr>
          <w:p>
            <w:pPr>
              <w:jc w:val="left"/>
            </w:pPr>
            <w:r>
              <w:rPr>
                <w:rFonts w:ascii="Arial" w:cs="Arial" w:eastAsia="Arial" w:hAnsi="Arial"/>
                <w:b/>
                <w:bCs/>
                <w:color w:val="FFFFFF"/>
                <w:sz w:val="19"/>
                <w:szCs w:val="19"/>
              </w:rPr>
              <w:t xml:space="preserve">Solución Tecnológica Futbolito 7</w:t>
            </w:r>
          </w:p>
        </w:tc>
      </w:tr>
      <w:tr>
        <w:tc>
          <w:tcPr>
            <w:tcW w:type="pct" w:w="30%"/>
            <w:shd w:fill="FFFFFF" w:val="clear"/>
            <w:tcMar>
              <w:top w:type="dxa" w:w="80"/>
              <w:left w:type="dxa" w:w="120"/>
              <w:bottom w:type="dxa" w:w="80"/>
              <w:right w:type="dxa" w:w="120"/>
            </w:tcMar>
          </w:tcPr>
          <w:p>
            <w:pPr>
              <w:jc w:val="left"/>
            </w:pPr>
            <w:r>
              <w:rPr>
                <w:rFonts w:ascii="Arial" w:cs="Arial" w:eastAsia="Arial" w:hAnsi="Arial"/>
                <w:b/>
                <w:bCs/>
                <w:color w:val="0F172A"/>
                <w:sz w:val="18"/>
                <w:szCs w:val="18"/>
              </w:rPr>
              <w:t xml:space="preserve">Capacidad Ociosa (Horario Valle)</w:t>
            </w:r>
          </w:p>
        </w:tc>
        <w:tc>
          <w:tcPr>
            <w:tcW w:type="pct" w:w="30%"/>
            <w:shd w:fill="FFFFFF"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Pérdida de hasta el 40% del potencial de facturación mensual.</w:t>
            </w:r>
          </w:p>
        </w:tc>
        <w:tc>
          <w:tcPr>
            <w:tcW w:type="pct" w:w="40%"/>
            <w:shd w:fill="FFFFFF"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Tarifas Dinámicas Punta/Valle automáticas en calendario HTMX para atraer estudiantes y turnos diurnos.</w:t>
            </w:r>
          </w:p>
        </w:tc>
      </w:tr>
      <w:tr>
        <w:tc>
          <w:tcPr>
            <w:tcW w:type="pct" w:w="30%"/>
            <w:shd w:fill="F8FAFC" w:val="clear"/>
            <w:tcMar>
              <w:top w:type="dxa" w:w="80"/>
              <w:left w:type="dxa" w:w="120"/>
              <w:bottom w:type="dxa" w:w="80"/>
              <w:right w:type="dxa" w:w="120"/>
            </w:tcMar>
          </w:tcPr>
          <w:p>
            <w:pPr>
              <w:jc w:val="left"/>
            </w:pPr>
            <w:r>
              <w:rPr>
                <w:rFonts w:ascii="Arial" w:cs="Arial" w:eastAsia="Arial" w:hAnsi="Arial"/>
                <w:b/>
                <w:bCs/>
                <w:color w:val="0F172A"/>
                <w:sz w:val="18"/>
                <w:szCs w:val="18"/>
              </w:rPr>
              <w:t xml:space="preserve">Pérdidas por No-Show</w:t>
            </w:r>
          </w:p>
        </w:tc>
        <w:tc>
          <w:tcPr>
            <w:tcW w:type="pct" w:w="30%"/>
            <w:shd w:fill="F8FAFC"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Bloque reservado que queda vacío sin pago del cliente.</w:t>
            </w:r>
          </w:p>
        </w:tc>
        <w:tc>
          <w:tcPr>
            <w:tcW w:type="pct" w:w="40%"/>
            <w:shd w:fill="F8FAFC"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Prepago Obligatorio y Split Payment con expiración: la cancha solo se bloquea si el dinero está asegurado.</w:t>
            </w:r>
          </w:p>
        </w:tc>
      </w:tr>
      <w:tr>
        <w:tc>
          <w:tcPr>
            <w:tcW w:type="pct" w:w="30%"/>
            <w:shd w:fill="FFFFFF" w:val="clear"/>
            <w:tcMar>
              <w:top w:type="dxa" w:w="80"/>
              <w:left w:type="dxa" w:w="120"/>
              <w:bottom w:type="dxa" w:w="80"/>
              <w:right w:type="dxa" w:w="120"/>
            </w:tcMar>
          </w:tcPr>
          <w:p>
            <w:pPr>
              <w:jc w:val="left"/>
            </w:pPr>
            <w:r>
              <w:rPr>
                <w:rFonts w:ascii="Arial" w:cs="Arial" w:eastAsia="Arial" w:hAnsi="Arial"/>
                <w:b/>
                <w:bCs/>
                <w:color w:val="0F172A"/>
                <w:sz w:val="18"/>
                <w:szCs w:val="18"/>
              </w:rPr>
              <w:t xml:space="preserve">Cancelación por Falta de Jugadores</w:t>
            </w:r>
          </w:p>
        </w:tc>
        <w:tc>
          <w:tcPr>
            <w:tcW w:type="pct" w:w="30%"/>
            <w:shd w:fill="FFFFFF"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Partidos suspendidos porque 'faltaron 2 personas' para armar el equipo.</w:t>
            </w:r>
          </w:p>
        </w:tc>
        <w:tc>
          <w:tcPr>
            <w:tcW w:type="pct" w:w="40%"/>
            <w:shd w:fill="FFFFFF"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Lobby de Matchmaking 6v6: Permite a jugadores libres completar cupos individuales, salvando el arriendo de la cancha.</w:t>
            </w:r>
          </w:p>
        </w:tc>
      </w:tr>
      <w:tr>
        <w:tc>
          <w:tcPr>
            <w:tcW w:type="pct" w:w="30%"/>
            <w:shd w:fill="F8FAFC" w:val="clear"/>
            <w:tcMar>
              <w:top w:type="dxa" w:w="80"/>
              <w:left w:type="dxa" w:w="120"/>
              <w:bottom w:type="dxa" w:w="80"/>
              <w:right w:type="dxa" w:w="120"/>
            </w:tcMar>
          </w:tcPr>
          <w:p>
            <w:pPr>
              <w:jc w:val="left"/>
            </w:pPr>
            <w:r>
              <w:rPr>
                <w:rFonts w:ascii="Arial" w:cs="Arial" w:eastAsia="Arial" w:hAnsi="Arial"/>
                <w:b/>
                <w:bCs/>
                <w:color w:val="0F172A"/>
                <w:sz w:val="18"/>
                <w:szCs w:val="18"/>
              </w:rPr>
              <w:t xml:space="preserve">Descuadre y Fugas en Recepción</w:t>
            </w:r>
          </w:p>
        </w:tc>
        <w:tc>
          <w:tcPr>
            <w:tcW w:type="pct" w:w="30%"/>
            <w:shd w:fill="F8FAFC"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Desconfianza de cobros en efectivo y transferencias no verificadas.</w:t>
            </w:r>
          </w:p>
        </w:tc>
        <w:tc>
          <w:tcPr>
            <w:tcW w:type="pct" w:w="40%"/>
            <w:shd w:fill="F8FAFC"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Panel de Turnos &amp; Check-in QR con AuditLog: Cada acceso tiene firma digital del operador responsable.</w:t>
            </w:r>
          </w:p>
        </w:tc>
      </w:tr>
      <w:tr>
        <w:tc>
          <w:tcPr>
            <w:tcW w:type="pct" w:w="30%"/>
            <w:shd w:fill="FFFFFF" w:val="clear"/>
            <w:tcMar>
              <w:top w:type="dxa" w:w="80"/>
              <w:left w:type="dxa" w:w="120"/>
              <w:bottom w:type="dxa" w:w="80"/>
              <w:right w:type="dxa" w:w="120"/>
            </w:tcMar>
          </w:tcPr>
          <w:p>
            <w:pPr>
              <w:jc w:val="left"/>
            </w:pPr>
            <w:r>
              <w:rPr>
                <w:rFonts w:ascii="Arial" w:cs="Arial" w:eastAsia="Arial" w:hAnsi="Arial"/>
                <w:b/>
                <w:bCs/>
                <w:color w:val="0F172A"/>
                <w:sz w:val="18"/>
                <w:szCs w:val="18"/>
              </w:rPr>
              <w:t xml:space="preserve">Ceguera Financiera</w:t>
            </w:r>
          </w:p>
        </w:tc>
        <w:tc>
          <w:tcPr>
            <w:tcW w:type="pct" w:w="30%"/>
            <w:shd w:fill="FFFFFF"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Desconocimiento de rentabilidad neta por tipo de cancha o temporada.</w:t>
            </w:r>
          </w:p>
        </w:tc>
        <w:tc>
          <w:tcPr>
            <w:tcW w:type="pct" w:w="40%"/>
            <w:shd w:fill="FFFFFF" w:val="clear"/>
            <w:tcMar>
              <w:top w:type="dxa" w:w="80"/>
              <w:left w:type="dxa" w:w="120"/>
              <w:bottom w:type="dxa" w:w="80"/>
              <w:right w:type="dxa" w:w="120"/>
            </w:tcMar>
          </w:tcPr>
          <w:p>
            <w:pPr>
              <w:jc w:val="left"/>
            </w:pPr>
            <w:r>
              <w:rPr>
                <w:rFonts w:ascii="Arial" w:cs="Arial" w:eastAsia="Arial" w:hAnsi="Arial"/>
                <w:b w:val="false"/>
                <w:bCs w:val="false"/>
                <w:color w:val="0F172A"/>
                <w:sz w:val="18"/>
                <w:szCs w:val="18"/>
              </w:rPr>
              <w:t xml:space="preserve">Dashboard Contable con agregaciones ORM (Sum/Count): Muestra ingresos brutos, horas punta y ocupación real.</w:t>
            </w:r>
          </w:p>
        </w:tc>
      </w:tr>
    </w:tbl>
    <w:p>
      <w:pPr>
        <w:spacing w:after="100" w:before="200"/>
      </w:pPr>
      <w:r>
        <w:rPr>
          <w:rFonts w:ascii="Arial" w:cs="Arial" w:eastAsia="Arial" w:hAnsi="Arial"/>
          <w:b/>
          <w:bCs/>
          <w:color w:val="059669"/>
          <w:sz w:val="28"/>
          <w:szCs w:val="28"/>
        </w:rPr>
        <w:t xml:space="preserve">4. Conclusión para la Cátedra</w:t>
      </w:r>
    </w:p>
    <w:p>
      <w:pPr>
        <w:spacing w:after="60" w:before="40"/>
      </w:pPr>
      <w:r>
        <w:rPr>
          <w:rFonts w:ascii="Arial" w:cs="Arial" w:eastAsia="Arial" w:hAnsi="Arial"/>
          <w:i w:val="false"/>
          <w:iCs w:val="false"/>
          <w:color w:val="1E293B"/>
          <w:sz w:val="21"/>
          <w:szCs w:val="21"/>
        </w:rPr>
        <w:t xml:space="preserve">La información más crítica para el cliente no es estética ni de programación: es la protección de su flujo de caja y la maximización del uso de sus canchas. Al concebir Futbolito 7 desde este modelo económico, el proyecto se consolida no solo como una herramienta funcional, sino como una plataforma de alto impacto comercial que soluciona los dolores reales de la industria deportiva amateur.</w:t>
      </w:r>
    </w:p>
    <w:sectPr>
      <w:headerReference w:type="default" r:id="rId7"/>
      <w:footerReference w:type="default" r:id="rId8"/>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5"/>
        <w:szCs w:val="15"/>
      </w:rPr>
      <w:t xml:space="preserve">Página </w:t>
    </w:r>
    <w:r>
      <w:rPr>
        <w:color w:val="64748B"/>
        <w:sz w:val="15"/>
        <w:szCs w:val="15"/>
      </w:rPr>
      <w:fldChar w:fldCharType="begin"/>
      <w:instrText xml:space="preserve">PAGE</w:instrText>
      <w:fldChar w:fldCharType="separate"/>
      <w:fldChar w:fldCharType="end"/>
    </w:r>
    <w:r>
      <w:rPr>
        <w:color w:val="64748B"/>
        <w:sz w:val="15"/>
        <w:szCs w:val="15"/>
      </w:rPr>
      <w:t xml:space="preserve"> de </w:t>
    </w:r>
    <w:r>
      <w:rPr>
        <w:color w:val="64748B"/>
        <w:sz w:val="15"/>
        <w:szCs w:val="15"/>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4748B"/>
        <w:sz w:val="15"/>
        <w:szCs w:val="15"/>
      </w:rPr>
      <w:t xml:space="preserve">Futbolito 7 — Información Crítica para el Modelo de Negocio del Cliente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E293B"/>
        <w:sz w:val="21"/>
        <w:szCs w:val="21"/>
      </w:rPr>
    </w:rPrDefault>
    <w:pPrDefault>
      <w:pPr>
        <w:spacing w:line="2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2026-09-14T18:22:49.706Z</dcterms:created>
  <dcterms:modified xsi:type="dcterms:W3CDTF">2026-09-14T18:22:49.712Z</dcterms:modified>
</cp:coreProperties>
</file>

<file path=docProps/custom.xml><?xml version="1.0" encoding="utf-8"?>
<Properties xmlns="http://schemas.openxmlformats.org/officeDocument/2006/custom-properties" xmlns:vt="http://schemas.openxmlformats.org/officeDocument/2006/docPropsVTypes"/>
</file>