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Seguridad En La Web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2023-2024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Mario Fuentes, Aaron Izquierdo.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Este documento recoge la paleta de colores, tipografía e iconos que se utilizarán en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5bek5sph2z" w:id="1"/>
      <w:bookmarkEnd w:id="1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El proyecto toma una paleta de colores centrada en colores claros, con algunos colores llamativos para hacer énfasis y llamar la atención en los puntos importantes.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2"/>
        <w:gridCol w:w="2092"/>
        <w:gridCol w:w="2092"/>
        <w:gridCol w:w="2092"/>
        <w:gridCol w:w="2092"/>
        <w:tblGridChange w:id="0">
          <w:tblGrid>
            <w:gridCol w:w="2092"/>
            <w:gridCol w:w="2092"/>
            <w:gridCol w:w="2092"/>
            <w:gridCol w:w="2092"/>
            <w:gridCol w:w="2092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(52, 152, 219)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(244, 244, 244)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243, 156, 18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(231,76,60)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39, 174, 96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3498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a609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a609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9c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a609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4c3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a609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7ae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a609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7zlejcot4dgy" w:id="2"/>
      <w:bookmarkEnd w:id="2"/>
      <w:r w:rsidDel="00000000" w:rsidR="00000000" w:rsidRPr="00000000">
        <w:rPr>
          <w:rtl w:val="0"/>
        </w:rPr>
        <w:t xml:space="preserve">Logo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2008350</wp:posOffset>
            </wp:positionH>
            <wp:positionV relativeFrom="paragraph">
              <wp:posOffset>123825</wp:posOffset>
            </wp:positionV>
            <wp:extent cx="2632238" cy="2632238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238" cy="263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Style w:val="Heading1"/>
        <w:jc w:val="center"/>
        <w:rPr/>
      </w:pPr>
      <w:bookmarkStart w:colFirst="0" w:colLast="0" w:name="_1soa83hktev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6aya23f45vb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rkuie6gcfw9s" w:id="5"/>
      <w:bookmarkEnd w:id="5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Nuestra tipografía principal es </w:t>
      </w:r>
      <w:r w:rsidDel="00000000" w:rsidR="00000000" w:rsidRPr="00000000">
        <w:rPr>
          <w:sz w:val="32"/>
          <w:szCs w:val="32"/>
          <w:rtl w:val="0"/>
        </w:rPr>
        <w:t xml:space="preserve">Arial, sans-serif, ya que es una fuente fácil de leer en la que podrás ver los listados sin problema, nuestros títulos están en Bevan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Bevan" w:cs="Bevan" w:eastAsia="Bevan" w:hAnsi="Bevan"/>
          <w:b w:val="1"/>
          <w:color w:val="4a86e8"/>
          <w:sz w:val="48"/>
          <w:szCs w:val="48"/>
          <w:highlight w:val="white"/>
        </w:rPr>
      </w:pPr>
      <w:r w:rsidDel="00000000" w:rsidR="00000000" w:rsidRPr="00000000">
        <w:rPr>
          <w:rFonts w:ascii="Bevan" w:cs="Bevan" w:eastAsia="Bevan" w:hAnsi="Bevan"/>
          <w:b w:val="1"/>
          <w:color w:val="4a86e8"/>
          <w:sz w:val="48"/>
          <w:szCs w:val="48"/>
          <w:highlight w:val="white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Lorem ipsum dolor sit amet, consectetur adipiscing elit. Cras imperdiet, turpis ac efficitur aliquam, velit magna congue ligula, sed iaculis ligula ex ut metus. Donec vestibulum finibus velit et fringilla.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5c9zltnrqrh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jzu934jz9scg" w:id="7"/>
      <w:bookmarkEnd w:id="7"/>
      <w:r w:rsidDel="00000000" w:rsidR="00000000" w:rsidRPr="00000000">
        <w:rPr>
          <w:rtl w:val="0"/>
        </w:rPr>
        <w:t xml:space="preserve">Ejemplos de Uso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Barra del menú: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40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Listado de inscripciones: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456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Bevan">
    <w:embedRegular w:fontKey="{00000000-0000-0000-0000-000000000000}" r:id="rId1" w:subsetted="0"/>
    <w:embedItalic w:fontKey="{00000000-0000-0000-0000-000000000000}" r:id="rId2" w:subsetted="0"/>
  </w:font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Autor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1" name="image7.png"/>
          <a:graphic>
            <a:graphicData uri="http://schemas.openxmlformats.org/drawingml/2006/picture">
              <pic:pic>
                <pic:nvPicPr>
                  <pic:cNvPr descr="Correo electrónico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email@fundacionloyola.es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5" name="image6.png"/>
          <a:graphic>
            <a:graphicData uri="http://schemas.openxmlformats.org/drawingml/2006/picture">
              <pic:pic>
                <pic:nvPicPr>
                  <pic:cNvPr descr="Correo electrónico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van-regular.ttf"/><Relationship Id="rId2" Type="http://schemas.openxmlformats.org/officeDocument/2006/relationships/font" Target="fonts/Bevan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