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general"/>
        <w:rPr>
          <w:rFonts w:ascii="Century Gothic" w:hAnsi="Century Gothic"/>
          <w:b/>
          <w:b/>
          <w:bCs/>
          <w:sz w:val="48"/>
          <w:szCs w:val="48"/>
          <w:lang w:val="es-CO"/>
        </w:rPr>
      </w:pPr>
      <w:r>
        <w:rPr>
          <w:rFonts w:ascii="Century Gothic" w:hAnsi="Century Gothic"/>
          <w:b/>
          <w:bCs/>
          <w:sz w:val="48"/>
          <w:szCs w:val="48"/>
          <w:lang w:val="es-CO"/>
        </w:rPr>
        <w:t xml:space="preserve">Diccionario de Datos: </w:t>
      </w:r>
    </w:p>
    <w:p>
      <w:pPr>
        <w:pStyle w:val="Ttulogeneral"/>
        <w:rPr>
          <w:rFonts w:ascii="Century Gothic" w:hAnsi="Century Gothic"/>
          <w:b/>
          <w:b/>
          <w:bCs/>
          <w:sz w:val="48"/>
          <w:szCs w:val="48"/>
          <w:lang w:val="es-CO"/>
        </w:rPr>
      </w:pPr>
      <w:r>
        <w:rPr>
          <w:rFonts w:ascii="Century Gothic" w:hAnsi="Century Gothic"/>
          <w:b/>
          <w:bCs/>
          <w:sz w:val="48"/>
          <w:szCs w:val="48"/>
          <w:lang w:val="es-CO"/>
        </w:rPr>
        <w:t>SECOP II - Contratos Electrónicos</w:t>
      </w:r>
    </w:p>
    <w:p>
      <w:pPr>
        <w:pStyle w:val="Normal"/>
        <w:rPr>
          <w:rFonts w:ascii="Century Gothic" w:hAnsi="Century Gothic" w:cs="Calibri" w:cs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entury Gothic" w:hAnsi="Century Gothic"/>
          <w:b/>
          <w:bCs/>
          <w:sz w:val="28"/>
          <w:szCs w:val="28"/>
          <w:lang w:val="es-CO"/>
        </w:rPr>
      </w:r>
    </w:p>
    <w:p>
      <w:pPr>
        <w:pStyle w:val="Normal"/>
        <w:rPr>
          <w:rFonts w:ascii="Century Gothic" w:hAnsi="Century Gothic" w:cs="Calibri" w:cs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entury Gothic" w:hAnsi="Century Gothic"/>
          <w:b/>
          <w:bCs/>
          <w:sz w:val="28"/>
          <w:szCs w:val="28"/>
          <w:lang w:val="es-CO"/>
        </w:rPr>
      </w:r>
    </w:p>
    <w:p>
      <w:pPr>
        <w:pStyle w:val="Normal"/>
        <w:rPr>
          <w:rFonts w:ascii="Century Gothic" w:hAnsi="Century Gothic" w:cs="Calibri" w:cs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entury Gothic" w:hAnsi="Century Gothic"/>
          <w:b/>
          <w:bCs/>
          <w:sz w:val="28"/>
          <w:szCs w:val="28"/>
          <w:lang w:val="es-CO"/>
        </w:rPr>
      </w:r>
    </w:p>
    <w:p>
      <w:pPr>
        <w:pStyle w:val="Normal"/>
        <w:jc w:val="center"/>
        <w:rPr>
          <w:rFonts w:ascii="Century Gothic" w:hAnsi="Century Gothic" w:cs="Calibri" w:cstheme="majorHAnsi"/>
          <w:b/>
          <w:b/>
          <w:bCs/>
          <w:sz w:val="36"/>
          <w:szCs w:val="36"/>
          <w:lang w:val="es-CO"/>
        </w:rPr>
      </w:pPr>
      <w:r>
        <w:rPr>
          <w:rFonts w:cs="Calibri" w:ascii="Century Gothic" w:hAnsi="Century Gothic" w:cstheme="majorHAnsi"/>
          <w:b/>
          <w:bCs/>
          <w:sz w:val="36"/>
          <w:szCs w:val="36"/>
          <w:lang w:val="es-CO"/>
        </w:rPr>
        <w:t>Agencia Nacional de Contratación Pública – Colombia Compra Eficiente</w:t>
      </w:r>
    </w:p>
    <w:p>
      <w:pPr>
        <w:pStyle w:val="Normal"/>
        <w:rPr>
          <w:rFonts w:ascii="Century Gothic" w:hAnsi="Century Gothic" w:cs="Calibri" w:cs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entury Gothic" w:hAnsi="Century Gothic"/>
          <w:b/>
          <w:bCs/>
          <w:sz w:val="28"/>
          <w:szCs w:val="28"/>
          <w:lang w:val="es-CO"/>
        </w:rPr>
      </w:r>
    </w:p>
    <w:p>
      <w:pPr>
        <w:pStyle w:val="NoSpacing"/>
        <w:jc w:val="center"/>
        <w:rPr>
          <w:rFonts w:ascii="Century Gothic" w:hAnsi="Century Gothic"/>
          <w:b/>
          <w:b/>
          <w:bCs/>
          <w:sz w:val="36"/>
          <w:szCs w:val="36"/>
          <w:lang w:val="es-CO"/>
        </w:rPr>
      </w:pPr>
      <w:r>
        <w:rPr>
          <w:rFonts w:ascii="Century Gothic" w:hAnsi="Century Gothic"/>
          <w:b/>
          <w:bCs/>
          <w:sz w:val="36"/>
          <w:szCs w:val="36"/>
          <w:lang w:val="es-CO"/>
        </w:rPr>
        <w:t>Subdirección de Información y Desarrollo Tecnológico</w:t>
      </w:r>
    </w:p>
    <w:p>
      <w:pPr>
        <w:pStyle w:val="NoSpacing"/>
        <w:jc w:val="center"/>
        <w:rPr>
          <w:rFonts w:ascii="Century Gothic" w:hAnsi="Century Gothic"/>
          <w:b/>
          <w:b/>
          <w:bCs/>
          <w:sz w:val="36"/>
          <w:szCs w:val="36"/>
          <w:lang w:val="es-CO"/>
        </w:rPr>
      </w:pPr>
      <w:r>
        <w:rPr>
          <w:rFonts w:ascii="Century Gothic" w:hAnsi="Century Gothic"/>
          <w:b/>
          <w:bCs/>
          <w:sz w:val="36"/>
          <w:szCs w:val="36"/>
          <w:lang w:val="es-CO"/>
        </w:rPr>
        <w:t>Sistemas de Información</w:t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alibri" w:hAnsi="Calibri"/>
          <w:b/>
          <w:bCs/>
          <w:sz w:val="28"/>
          <w:szCs w:val="28"/>
          <w:lang w:val="es-C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alibri" w:hAnsi="Calibri"/>
          <w:b/>
          <w:bCs/>
          <w:sz w:val="28"/>
          <w:szCs w:val="28"/>
          <w:lang w:val="es-C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alibri" w:hAnsi="Calibri"/>
          <w:b/>
          <w:bCs/>
          <w:sz w:val="28"/>
          <w:szCs w:val="28"/>
          <w:lang w:val="es-CO"/>
        </w:rPr>
      </w:r>
    </w:p>
    <w:p>
      <w:pPr>
        <w:pStyle w:val="NoSpacing"/>
        <w:jc w:val="right"/>
        <w:rPr>
          <w:rFonts w:ascii="Century Gothic" w:hAnsi="Century Gothic"/>
          <w:b/>
          <w:b/>
          <w:bCs/>
          <w:lang w:val="es-CO"/>
        </w:rPr>
      </w:pPr>
      <w:r>
        <w:rPr>
          <w:rFonts w:ascii="Century Gothic" w:hAnsi="Century Gothic"/>
          <w:b/>
          <w:bCs/>
          <w:lang w:val="es-CO"/>
        </w:rPr>
        <w:t>Fecha: octubre 2025</w:t>
      </w:r>
    </w:p>
    <w:p>
      <w:pPr>
        <w:pStyle w:val="NoSpacing"/>
        <w:jc w:val="right"/>
        <w:rPr>
          <w:rFonts w:ascii="Century Gothic" w:hAnsi="Century Gothic"/>
          <w:b/>
          <w:b/>
          <w:bCs/>
          <w:lang w:val="es-CO"/>
        </w:rPr>
      </w:pPr>
      <w:r>
        <w:rPr>
          <w:rFonts w:ascii="Century Gothic" w:hAnsi="Century Gothic"/>
          <w:b/>
          <w:bCs/>
          <w:lang w:val="es-CO"/>
        </w:rPr>
        <w:t>Versión: 1.0</w:t>
      </w:r>
    </w:p>
    <w:p>
      <w:pPr>
        <w:pStyle w:val="Normal"/>
        <w:rPr>
          <w:lang w:val="es-CO"/>
        </w:rPr>
      </w:pPr>
      <w:r>
        <w:rPr>
          <w:lang w:val="es-CO"/>
        </w:rPr>
      </w:r>
      <w:r>
        <w:br w:type="page"/>
      </w:r>
    </w:p>
    <w:p>
      <w:pPr>
        <w:pStyle w:val="Ttulo1"/>
        <w:numPr>
          <w:ilvl w:val="0"/>
          <w:numId w:val="7"/>
        </w:numPr>
        <w:rPr>
          <w:rFonts w:ascii="Century Gothic" w:hAnsi="Century Gothic"/>
          <w:lang w:val="es-CO"/>
        </w:rPr>
      </w:pPr>
      <w:bookmarkStart w:id="0" w:name="_Toc207893493"/>
      <w:r>
        <w:rPr>
          <w:rFonts w:ascii="Century Gothic" w:hAnsi="Century Gothic"/>
          <w:lang w:val="es-CO"/>
        </w:rPr>
        <w:t>Objetivo del Documento</w:t>
      </w:r>
      <w:bookmarkEnd w:id="0"/>
    </w:p>
    <w:p>
      <w:pPr>
        <w:pStyle w:val="Normal"/>
        <w:rPr>
          <w:lang w:val="es-CO"/>
        </w:rPr>
      </w:pPr>
      <w:r>
        <w:rPr>
          <w:lang w:val="es-CO"/>
        </w:rPr>
      </w:r>
    </w:p>
    <w:p>
      <w:pPr>
        <w:pStyle w:val="Normal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El presente diccionario de datos tiene como objetivo proporcionar una descripción clara, estructurada y detallada del conjunto de datos SECOP II - Contratos Electrónicos, administrado por la Agencia Nacional de Contratación Pública – Colombia Compra Eficiente. Este documento busca facilitar la comprensión, uso, interoperabilidad y análisis de la información contenida en el sistema SECOP II por parte de entidades públicas, proveedores, investigadores, desarrolladores y ciudadanos interesados en la contratación pública.</w:t>
      </w:r>
    </w:p>
    <w:p>
      <w:pPr>
        <w:pStyle w:val="Normal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Además, sirve como herramienta técnica de referencia para garantizar la calidad, consistencia y trazabilidad de los datos abiertos publicados en la plataforma de Datos Abiertos Colombia.</w:t>
      </w:r>
    </w:p>
    <w:p>
      <w:pPr>
        <w:pStyle w:val="Ttulo1"/>
        <w:numPr>
          <w:ilvl w:val="0"/>
          <w:numId w:val="7"/>
        </w:numPr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 xml:space="preserve"> </w:t>
      </w:r>
      <w:bookmarkStart w:id="1" w:name="_Toc207893495"/>
      <w:r>
        <w:rPr>
          <w:rFonts w:ascii="Century Gothic" w:hAnsi="Century Gothic"/>
          <w:lang w:val="es-CO"/>
        </w:rPr>
        <w:t xml:space="preserve">Conjuntos de Datos:  </w:t>
      </w:r>
      <w:bookmarkEnd w:id="1"/>
      <w:r>
        <w:rPr>
          <w:rFonts w:ascii="Century Gothic" w:hAnsi="Century Gothic"/>
          <w:lang w:val="es-CO"/>
        </w:rPr>
        <w:t xml:space="preserve"> </w:t>
      </w:r>
    </w:p>
    <w:p>
      <w:pPr>
        <w:pStyle w:val="Normal"/>
        <w:rPr>
          <w:rFonts w:ascii="Century Gothic" w:hAnsi="Century Gothic"/>
        </w:rPr>
      </w:pPr>
      <w:r>
        <w:rPr>
          <w:rFonts w:ascii="Century Gothic" w:hAnsi="Century Gothic"/>
        </w:rPr>
      </w:r>
    </w:p>
    <w:p>
      <w:pPr>
        <w:pStyle w:val="Normal"/>
        <w:rPr>
          <w:rFonts w:ascii="Century Gothic" w:hAnsi="Century Gothic"/>
          <w:b/>
          <w:b/>
          <w:bCs/>
          <w:lang w:val="es-CO"/>
        </w:rPr>
      </w:pPr>
      <w:r>
        <w:rPr>
          <w:rFonts w:ascii="Century Gothic" w:hAnsi="Century Gothic"/>
          <w:b/>
          <w:bCs/>
          <w:lang w:val="es-CO"/>
        </w:rPr>
        <w:t>SECOP II - Contratos Electrónicos</w:t>
      </w:r>
    </w:p>
    <w:p>
      <w:pPr>
        <w:pStyle w:val="Normal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 xml:space="preserve">El conjunto de datos </w:t>
      </w:r>
      <w:r>
        <w:rPr>
          <w:rFonts w:ascii="Century Gothic" w:hAnsi="Century Gothic"/>
          <w:b/>
          <w:bCs/>
          <w:lang w:val="es-CO"/>
        </w:rPr>
        <w:t>SECOP II - Contratos Electrónicos</w:t>
      </w:r>
      <w:r>
        <w:rPr>
          <w:rFonts w:ascii="Century Gothic" w:hAnsi="Century Gothic"/>
          <w:lang w:val="es-CO"/>
        </w:rPr>
        <w:t xml:space="preserve"> contiene información detallada sobre los contratos estatales firmados electrónicamente en Colombia. Incluye variables relacionadas con:</w:t>
      </w:r>
    </w:p>
    <w:p>
      <w:pPr>
        <w:pStyle w:val="Normal"/>
        <w:numPr>
          <w:ilvl w:val="0"/>
          <w:numId w:val="9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Identificación de la entidad contratante (nombre, NIT, ubicación, sector, orden, rama)</w:t>
      </w:r>
    </w:p>
    <w:p>
      <w:pPr>
        <w:pStyle w:val="Normal"/>
        <w:numPr>
          <w:ilvl w:val="0"/>
          <w:numId w:val="9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Información del contrato (ID, referencia, estado, tipo, modalidad, fechas clave, objeto, duración)</w:t>
      </w:r>
    </w:p>
    <w:p>
      <w:pPr>
        <w:pStyle w:val="Normal"/>
        <w:numPr>
          <w:ilvl w:val="0"/>
          <w:numId w:val="9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Datos del proveedor adjudicado (nombre, documento, tipo, grupo, Pyme)</w:t>
      </w:r>
    </w:p>
    <w:p>
      <w:pPr>
        <w:pStyle w:val="Normal"/>
        <w:numPr>
          <w:ilvl w:val="0"/>
          <w:numId w:val="9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Información financiera (valores contratados, pagos, amortizaciones, saldos, origen y destino de recursos)</w:t>
      </w:r>
    </w:p>
    <w:p>
      <w:pPr>
        <w:pStyle w:val="Normal"/>
        <w:numPr>
          <w:ilvl w:val="0"/>
          <w:numId w:val="9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Información presupuestal (códigos BPIN, CDP, vigencia)</w:t>
      </w:r>
    </w:p>
    <w:p>
      <w:pPr>
        <w:pStyle w:val="Normal"/>
        <w:numPr>
          <w:ilvl w:val="0"/>
          <w:numId w:val="9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Datos del representante legal, supervisores, ordenadores de gasto y pago</w:t>
      </w:r>
    </w:p>
    <w:p>
      <w:pPr>
        <w:pStyle w:val="Normal"/>
        <w:numPr>
          <w:ilvl w:val="0"/>
          <w:numId w:val="9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Indicadores de cumplimiento ambiental, postconsumo, postconflicto y prórrogas</w:t>
      </w:r>
    </w:p>
    <w:p>
      <w:pPr>
        <w:pStyle w:val="Normal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Este conjunto permite realizar análisis sobre la ejecución contractual, seguimiento presupuestal, evaluación de proveedores, transparencia en la gestión pública y apoyo a políticas de contratación estatal.</w:t>
      </w:r>
    </w:p>
    <w:p>
      <w:pPr>
        <w:pStyle w:val="Normal"/>
        <w:jc w:val="both"/>
        <w:rPr>
          <w:rFonts w:ascii="Century Gothic" w:hAnsi="Century Gothic" w:eastAsia="ＭＳ ゴシック" w:cs="Times New Roman" w:cstheme="majorBidi" w:eastAsiaTheme="majorEastAsia"/>
          <w:b/>
          <w:b/>
          <w:bCs/>
          <w:color w:val="365F91" w:themeColor="accent1" w:themeShade="bf"/>
          <w:sz w:val="28"/>
          <w:szCs w:val="28"/>
          <w:lang w:val="es-CO"/>
        </w:rPr>
      </w:pPr>
      <w:r>
        <w:rPr>
          <w:rFonts w:ascii="Century Gothic" w:hAnsi="Century Gothic"/>
          <w:b/>
          <w:bCs/>
          <w:lang w:val="es-CO"/>
        </w:rPr>
        <w:t xml:space="preserve"> </w:t>
      </w:r>
      <w:r>
        <w:rPr>
          <w:rFonts w:ascii="Century Gothic" w:hAnsi="Century Gothic"/>
          <w:lang w:val="es-CO"/>
        </w:rPr>
        <w:t xml:space="preserve">  </w:t>
      </w:r>
      <w:r>
        <w:rPr>
          <w:rFonts w:eastAsia="ＭＳ ゴシック" w:cs="Times New Roman" w:ascii="Century Gothic" w:hAnsi="Century Gothic" w:cstheme="majorBidi" w:eastAsiaTheme="majorEastAsia"/>
          <w:b/>
          <w:bCs/>
          <w:color w:val="365F91" w:themeColor="accent1" w:themeShade="bf"/>
          <w:sz w:val="28"/>
          <w:szCs w:val="28"/>
          <w:lang w:val="es-CO"/>
        </w:rPr>
        <w:t>3. URL</w:t>
      </w:r>
    </w:p>
    <w:p>
      <w:pPr>
        <w:pStyle w:val="Normal"/>
        <w:rPr>
          <w:rFonts w:ascii="Century Gothic" w:hAnsi="Century Gothic"/>
          <w:lang w:val="es-CO"/>
        </w:rPr>
      </w:pPr>
      <w:hyperlink r:id="rId2">
        <w:r>
          <w:rPr/>
          <w:t>https://www.datos.gov.co/Gastos-Gubernamentales/SECOP-II-Procesos-de-Contrataci-n/p6dx-8zbt/about_data</w:t>
        </w:r>
      </w:hyperlink>
      <w:r>
        <w:rPr>
          <w:lang w:val="es-CO"/>
        </w:rPr>
        <w:t xml:space="preserve"> </w:t>
      </w:r>
      <w:hyperlink r:id="rId3">
        <w:r>
          <w:rPr>
            <w:rStyle w:val="EnlacedeInternet"/>
            <w:lang w:val="es-CO"/>
          </w:rPr>
          <w:t>SECOP II - Contratos Electrónicos | Datos Abiertos Colombia</w:t>
        </w:r>
      </w:hyperlink>
    </w:p>
    <w:p>
      <w:pPr>
        <w:pStyle w:val="Ttulo2"/>
        <w:rPr>
          <w:rFonts w:ascii="Century Gothic" w:hAnsi="Century Gothic"/>
          <w:lang w:val="es-CO"/>
        </w:rPr>
      </w:pPr>
      <w:bookmarkStart w:id="2" w:name="_Toc207893497"/>
      <w:r>
        <w:rPr>
          <w:rFonts w:ascii="Century Gothic" w:hAnsi="Century Gothic"/>
          <w:lang w:val="es-CO"/>
        </w:rPr>
        <w:t>4. Metadatos</w:t>
      </w:r>
      <w:bookmarkEnd w:id="2"/>
    </w:p>
    <w:p>
      <w:pPr>
        <w:pStyle w:val="ListParagraph"/>
        <w:rPr>
          <w:lang w:val="es-CO"/>
        </w:rPr>
      </w:pPr>
      <w:r>
        <w:rPr>
          <w:lang w:val="es-CO"/>
        </w:rPr>
      </w:r>
    </w:p>
    <w:p>
      <w:pPr>
        <w:pStyle w:val="Normal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Los metadatos asociados a este registro son: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361"/>
        <w:gridCol w:w="1415"/>
        <w:gridCol w:w="1415"/>
        <w:gridCol w:w="2016"/>
        <w:gridCol w:w="2018"/>
        <w:gridCol w:w="1415"/>
      </w:tblGrid>
      <w:tr>
        <w:trPr>
          <w:tblHeader w:val="true"/>
          <w:trHeight w:val="495" w:hRule="atLeast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 w:themeColor="text1"/>
                <w:sz w:val="14"/>
                <w:szCs w:val="14"/>
                <w:lang w:val="es-CO" w:eastAsia="es-CO"/>
              </w:rPr>
              <w:t>Núm.</w:t>
            </w:r>
          </w:p>
        </w:tc>
        <w:tc>
          <w:tcPr>
            <w:tcW w:w="1415" w:type="dxa"/>
            <w:tcBorders>
              <w:top w:val="single" w:sz="4" w:space="0" w:color="000000"/>
              <w:bottom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4"/>
                <w:szCs w:val="14"/>
                <w:lang w:val="es-CO" w:eastAsia="es-CO"/>
              </w:rPr>
              <w:t>De  anclaje</w:t>
            </w:r>
          </w:p>
        </w:tc>
        <w:tc>
          <w:tcPr>
            <w:tcW w:w="14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4"/>
                <w:szCs w:val="14"/>
                <w:lang w:val="es-CO" w:eastAsia="es-CO"/>
              </w:rPr>
              <w:t>Nombre de la columna</w:t>
            </w:r>
          </w:p>
        </w:tc>
        <w:tc>
          <w:tcPr>
            <w:tcW w:w="20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4"/>
                <w:szCs w:val="14"/>
                <w:lang w:val="es-CO" w:eastAsia="es-CO"/>
              </w:rPr>
              <w:t>Descripción</w:t>
            </w:r>
          </w:p>
        </w:tc>
        <w:tc>
          <w:tcPr>
            <w:tcW w:w="2018" w:type="dxa"/>
            <w:tcBorders>
              <w:top w:val="single" w:sz="4" w:space="0" w:color="000000"/>
              <w:bottom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4"/>
                <w:szCs w:val="14"/>
                <w:lang w:val="es-CO" w:eastAsia="es-CO"/>
              </w:rPr>
              <w:t>Nombre del campo API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4"/>
                <w:szCs w:val="14"/>
                <w:lang w:val="es-CO" w:eastAsia="es-CO"/>
              </w:rPr>
              <w:t>Tipo de Dato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1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Nombre Entidad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Nombre de la entidad del estado que publica el contrato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nombre_entidad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2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  <w:t>1</w:t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Nit Entidad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NIT de la entidad del estado que publica el contrato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nit_entidad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Número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3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Departamento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Departamento en el cual se registró la entidad del estado que publica el contrato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departamento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4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Ciudad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Ciudad en el cual se registró la entidad del estado que publica el contrato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ciudad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5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Localización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Ubicación completa de la entidad del estado que publica el contrato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localizaci_n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6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Orden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Orden entidad del estado que publica el contrato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orden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7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Sector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Sector entidad del estado que publica el contrato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sector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8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Rama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Rama del estado de la entidad que publica el contrato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rama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9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Entidad Centralizada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Define si la entidad es descentralizada o centralizada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entidad_centralizada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10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  <w:t>1</w:t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Proceso de Compra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Identificador del proceso de compra publicado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proceso_de_compra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11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  <w:t>1</w:t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ID Contrato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Identificador del contrato firmado, generado por la plataforma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id_contrato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12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  <w:t>1</w:t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Referencia del Contrato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Identificador del contrato firmado, generado por la entidad del estado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referencia_del_contrato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13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Estado Contrato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Estado del contrato, frente a su ejecución, firma o liquidación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estado_contrato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14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Código de Categoría Principal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Código UNSPSC de la categoría principal para el contrato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codigo_de_categoria_principal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15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Descripción del Proceso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Descripción del objeto del proceso de compra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descripcion_del_proceso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16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Tipo de Contrato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Tipo de contrato de acuerdo con su marco jurídico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tipo_de_contrato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17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Modalidad de Contratación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Modalidad de contratación de acuerdo con el modelo de selección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modalidad_de_contratacion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18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Justificación Modalidad de Contratación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Justificación de la modalidad, el escenario bajo el cual se toma la decisión de definir una u otra modalidad de contratación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justificacion_modalidad_de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19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Fecha de Firma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Fecha de firma del contrato electrónico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fecha_de_firma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Marca de tiempo variable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20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Fecha de Inicio del Contrato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Fecha de inicio de las responsabilidades contractuales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fecha_de_inicio_del_contrato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Marca de tiempo variable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21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Fecha de Fin del Contrato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Fecha de fin de las responsabilidades contractuales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fecha_de_fin_del_contrato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Marca de tiempo variable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22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Condiciones de Entrega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Condiciones bajo las cuales se entrega el producto o servicio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condiciones_de_entrega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23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 w:themeColor="text1"/>
                <w:sz w:val="14"/>
                <w:szCs w:val="14"/>
                <w:lang w:val="es-CO" w:eastAsia="es-CO"/>
              </w:rPr>
              <w:t>Tipo Doc Proveedor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Tipo de documento del proveedor adjudicado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tipodocproveedor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24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Documento Proveedor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Número de documento del proveedor adjudicado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documento_proveedor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25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Proveedor Adjudicado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Nombre del proveedor adjudicado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proveedor_adjudicado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26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Es Grupo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Determina el proveedor es un grupo de entidades, existe un conjunto de datos de CCE que contiene la conformación de los grupos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es_grupo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27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Es Pyme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Determina si la empresa es una Pyme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es_pyme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28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Habilita Pago Adelantado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Determina si el contrato tiene habilitada la opción de pago de adelantos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habilita_pago_adelantado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29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Liquidación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Determina si el contrato ha sido liquidado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liquidaci_n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30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Obligación Ambiental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Determina si el contrato tiene compromisos de cumplimiento a obligaciones ambientales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obligaci_n_ambiental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31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Obligaciones Post consumo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Determina si el contrato tiene compromisos de cumplimiento a obligaciones posteriores a la entrega del producto o prestación del servicio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obligaciones_postconsumo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32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Reversión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Determina si el contrato ha sido reversado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reversion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33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Origen de los Recursos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Origen de los Recursos, a nivel presupuestal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origen_de_los_recursos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34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Destino Gasto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Destino del gasto, a nivel presupuestal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destino_gasto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35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 del Contrato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 total del contrato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valor_del_contrato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Número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36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 de pago adelantado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 del pago por adelantado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valor_de_pago_adelantado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Número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37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 Facturado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 Facturado a la fecha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valor_facturado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Número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38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 Pendiente de Pago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 Pendiente de Pago a la fecha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valor_pendiente_de_pago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Número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39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 Pagado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 Pagado a la fecha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valor_pagado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Número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40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 Amortizado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 Amortizado a la fecha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valor_amortizado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Número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41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 Pendiente de Amortización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 Pendiente de Amortización a la fecha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valor_pendiente_de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Número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42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 Pendiente de Ejecución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 Pendiente de Ejecución a la fecha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valor_pendiente_de_ejecucion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Número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43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Estado BPIN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Estado de asignación del código del Banco de Proyectos de Inversión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estado_bpin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44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Código BPIN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Código asociado al Banco de Proyectos de Inversión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c_digo_bpin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45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Anno BPIN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Año de asignación del código del Banco de Proyectos de Inversión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anno_bpin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46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Saldo CDP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Saldo del CDP asignado al proceso y al contrato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saldo_cdp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Número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47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Saldo Vigencia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Saldo actual para la vigencia del CDP asignado al proceso y al contrato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saldo_vigencia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Número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48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Es Post Conflicto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Determina si el proceso está asociado a algún evento de acuerdo de paz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espostconflicto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49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Días adicionados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Días adicionados al contrato electrónico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dias_adicionados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Número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50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Puntos del Acuerdo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Pilares del acuerdo de paz, si el contrato es post conflicto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puntos_del_acuerdo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51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Pilares del Acuerdo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Pilares del acuerdo de paz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pilares_del_acuerdo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52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URL Proceso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URL del proceso de compra en la plataforma SECOP II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urlproceso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URL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53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Nombre Representante Legal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Nombre del representante legal de la entidad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nombre_representante_legal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54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Nacionalidad Representante Legal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Nacionalidad del representante legal de la entidad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nacionalidad_representante_legal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55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Domicilio Representante Legal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Dirección de domicilio del representante legal de la entidad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domicilio_representante_legal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56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Tipo de Identificación Representante Legal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Tipo de identificación del representante legal de la entidad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tipo_de_identificaci_n_representante_legal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57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  <w:t>1</w:t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Identificación Representante Legal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Número de identificación del representante legal de la entidad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identificaci_n_representante_legal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58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Género Representante Legal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Género sexual del representante legal de la entidad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g_nero_representante_legal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59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Presupuesto General de la Nación – PGN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 de origen de los recursos que corresponde al Presupuesto General de la Nación – PGN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presupuesto_general_de_la_nacion_pgn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Número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60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Sistema General de Participaciones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 de origen de los recursos que corresponde al Sistema General de Participaciones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sistema_general_de_participaciones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Número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61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Sistema General de Regalías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 de origen de los recursos que corresponde al Sistema General de Regalías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pt-PT" w:eastAsia="es-CO"/>
              </w:rPr>
              <w:t>sistema_general_de_regal_as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Número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62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Recursos Propios (Alcaldías, Gobernaciones y Resguardos Indígenas)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Indica el valor de recursos de la entidad en el contrato electrónico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recursos_propios_alcald_as_gobernaciones_y_resguardos_ind_genas_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Número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63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Recursos de Crédito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 de origen de los recursos que corresponde a Recursos de Crédito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recursos_de_credito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Número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64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Recursos Propios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Valor de origen de los recursos que corresponde a Recursos Propios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recursos_propios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Número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65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Ultima Actualización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Fecha de última actualización del contrato electrónico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ultima_actualizacion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Marca de tiempo variable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color w:val="158466"/>
                <w:highlight w:val="none"/>
                <w:shd w:fill="auto" w:val="clear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shd w:fill="auto" w:val="clear"/>
                <w:lang w:val="es-CO" w:eastAsia="es-CO"/>
              </w:rPr>
              <w:t>66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  <w:highlight w:val="none"/>
                <w:shd w:fill="auto" w:val="clear"/>
              </w:rPr>
            </w:pPr>
            <w:r>
              <w:rPr>
                <w:color w:val="158466"/>
                <w:shd w:fill="auto" w:val="clear"/>
              </w:rPr>
              <w:t>11</w:t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shd w:fill="auto" w:val="clear"/>
                <w:lang w:val="es-CO" w:eastAsia="es-CO"/>
              </w:rPr>
              <w:t>Código Entidad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shd w:fill="auto" w:val="clear"/>
                <w:lang w:val="es-CO" w:eastAsia="es-CO"/>
              </w:rPr>
              <w:t>Código de la entidad en la plataforma SECOPII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shd w:fill="auto" w:val="clear"/>
                <w:lang w:val="es-CO" w:eastAsia="es-CO"/>
              </w:rPr>
              <w:t>codigo_entidad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  <w:highlight w:val="none"/>
                <w:shd w:fill="auto" w:val="clear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shd w:fill="auto" w:val="clear"/>
                <w:lang w:val="es-CO" w:eastAsia="es-CO"/>
              </w:rPr>
              <w:t>Número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color w:val="158466"/>
                <w:highlight w:val="none"/>
                <w:shd w:fill="auto" w:val="clear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shd w:fill="auto" w:val="clear"/>
                <w:lang w:val="es-CO" w:eastAsia="es-CO"/>
              </w:rPr>
              <w:t>67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  <w:highlight w:val="none"/>
                <w:shd w:fill="auto" w:val="clear"/>
              </w:rPr>
            </w:pPr>
            <w:r>
              <w:rPr>
                <w:color w:val="158466"/>
                <w:shd w:fill="auto" w:val="clear"/>
              </w:rPr>
              <w:t>11</w:t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shd w:fill="auto" w:val="clear"/>
                <w:lang w:val="es-CO" w:eastAsia="es-CO"/>
              </w:rPr>
              <w:t>Código Proveedor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shd w:fill="auto" w:val="clear"/>
                <w:lang w:val="es-CO" w:eastAsia="es-CO"/>
              </w:rPr>
              <w:t>Código del proveedor en la plataforma SECOPII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shd w:fill="auto" w:val="clear"/>
                <w:lang w:val="es-CO" w:eastAsia="es-CO"/>
              </w:rPr>
              <w:t>codigo_proveedor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  <w:highlight w:val="none"/>
                <w:shd w:fill="auto" w:val="clear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shd w:fill="auto" w:val="clear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68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Fecha Inicio Liquidación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Fecha de inicio de liquidación del contrato electrónico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fecha_inicio_liquidacion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Marca de tiempo variable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69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Fecha Fin Liquidación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Fecha de fin de liquidación del contrato electrónico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fecha_fin_liquidacion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Marca de tiempo variable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70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Objeto del Contrato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Objeto del contrato electrónico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objeto_del_contrato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71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Duración del contrato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Describe la duración del contrato en el tiempo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duraci_n_del_contrato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72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Nombre del banco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 w:themeColor="text1"/>
                <w:sz w:val="14"/>
                <w:szCs w:val="14"/>
                <w:lang w:val="es-CO" w:eastAsia="es-CO"/>
              </w:rPr>
              <w:t>Indica el nombre del banco en donde se consignarán los pagos del contrato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nombre_del_banco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73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Tipo de cuenta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Tipo de cuenta en la que se se consignaran los pagos del contrato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tipo_de_cuenta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300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74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Número de cuenta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Número de cuenta en donde se harán los pagos del contrato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n_mero_de_cuenta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75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El contrato puede ser prorrogado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Indica si el contrato puede ser o no prorrogado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el_contrato_puede_ser_prorrogado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76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Fecha de notificación de prorrogación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Infica la fecha de notificación de la prorrogación del contrato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fecha_de_notificaci_n_de_prorrogaci_n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Marca de tiempo variable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77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Nombre ordenador del gasto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Describe el nombre del ordenador del gasto de la entidad compradora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nombre_ordenador_del_gasto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78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Tipo de documento Ordenador del gasto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Indica el tipo de documento del ordenador del gasto de la entidad compradora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tipo_de_documento_ordenador_del_gasto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79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  <w:t>1</w:t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Número de documento Ordenador del gasto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Indica el número de documento del ordenador del gasto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n_mero_de_documento_ordenador_del_gasto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80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Nombre supervisor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Describe el nombre del supervisor de la entidad compradora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nombre_supervisor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81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Tipo de documento supervisor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Indica el tipo de documento del supervisor de la entidad compradora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tipo_de_documento_supervisor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82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  <w:t>1</w:t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Número de documento supervisor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Indica el número de documento del supervisor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n_mero_de_documento_supervisor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83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Nombre Ordenador de Pago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Describe el nombre del Ordenador de Pago de la entidad compradora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nombre_ordenador_de_pago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84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EBEBE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EBEBE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Tipo de documento Ordenador de Pago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EBEBE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Indica el tipo de documento del Ordenador de Pago de la entidad compradora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EBEBE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tipo_de_documento_ordenador_de_pago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>
        <w:trPr>
          <w:trHeight w:val="495" w:hRule="atLeast"/>
        </w:trPr>
        <w:tc>
          <w:tcPr>
            <w:tcW w:w="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85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color w:val="158466"/>
              </w:rPr>
              <w:t>1</w:t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pt-PT" w:eastAsia="es-CO"/>
              </w:rPr>
              <w:t>Número de documento Ordenador de Pago</w:t>
            </w:r>
          </w:p>
        </w:tc>
        <w:tc>
          <w:tcPr>
            <w:tcW w:w="201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Indica el número de documento del Ordenador de Pago</w:t>
            </w:r>
          </w:p>
        </w:tc>
        <w:tc>
          <w:tcPr>
            <w:tcW w:w="2018" w:type="dxa"/>
            <w:tcBorders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pt-PT" w:eastAsia="es-CO"/>
              </w:rPr>
              <w:t>n_mero_de_documento_ordenador_de_pago</w:t>
            </w:r>
          </w:p>
        </w:tc>
        <w:tc>
          <w:tcPr>
            <w:tcW w:w="1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Texto</w:t>
            </w:r>
          </w:p>
        </w:tc>
      </w:tr>
    </w:tbl>
    <w:p>
      <w:pPr>
        <w:pStyle w:val="Normal"/>
        <w:rPr>
          <w:lang w:val="es-CO"/>
        </w:rPr>
      </w:pPr>
      <w:r>
        <w:rPr>
          <w:lang w:val="es-CO"/>
        </w:rPr>
        <w:t xml:space="preserve"> </w:t>
      </w:r>
    </w:p>
    <w:p>
      <w:pPr>
        <w:pStyle w:val="Ttulo2"/>
        <w:rPr>
          <w:rFonts w:ascii="Century Gothic" w:hAnsi="Century Gothic"/>
          <w:lang w:val="es-CO"/>
        </w:rPr>
      </w:pPr>
      <w:bookmarkStart w:id="3" w:name="_Toc207893499"/>
      <w:r>
        <w:rPr>
          <w:rFonts w:ascii="Century Gothic" w:hAnsi="Century Gothic"/>
          <w:lang w:val="es-CO"/>
        </w:rPr>
        <w:t>5. Frecuencia</w:t>
      </w:r>
      <w:bookmarkEnd w:id="3"/>
    </w:p>
    <w:p>
      <w:pPr>
        <w:pStyle w:val="Normal"/>
        <w:rPr>
          <w:rFonts w:ascii="Century Gothic" w:hAnsi="Century Gothic"/>
        </w:rPr>
      </w:pPr>
      <w:r>
        <w:rPr>
          <w:rFonts w:ascii="Century Gothic" w:hAnsi="Century Gothic"/>
        </w:rPr>
      </w:r>
      <w:bookmarkStart w:id="4" w:name="_Toc207893500"/>
      <w:bookmarkStart w:id="5" w:name="_Toc207893500"/>
    </w:p>
    <w:p>
      <w:pPr>
        <w:pStyle w:val="Ttulo2"/>
        <w:rPr>
          <w:rFonts w:ascii="Century Gothic" w:hAnsi="Century Gothic" w:eastAsia="ＭＳ 明朝" w:cs="Arial" w:cstheme="minorBidi" w:eastAsiaTheme="minorEastAsia"/>
          <w:b w:val="false"/>
          <w:b w:val="false"/>
          <w:bCs w:val="false"/>
          <w:color w:val="auto"/>
          <w:sz w:val="22"/>
          <w:szCs w:val="22"/>
          <w:lang w:val="es-CO"/>
        </w:rPr>
      </w:pPr>
      <w:r>
        <w:rPr>
          <w:rFonts w:eastAsia="ＭＳ 明朝" w:cs="Arial" w:ascii="Century Gothic" w:hAnsi="Century Gothic" w:cstheme="minorBidi" w:eastAsiaTheme="minorEastAsia"/>
          <w:b w:val="false"/>
          <w:bCs w:val="false"/>
          <w:color w:val="auto"/>
          <w:sz w:val="22"/>
          <w:szCs w:val="22"/>
          <w:lang w:val="es-CO"/>
        </w:rPr>
        <w:t>El conjunto de datos se actualiza diariamente, garantizando acceso a información vigente y consolidada sobre los contratos electrónicos registrados en SECOP II.</w:t>
      </w:r>
    </w:p>
    <w:p>
      <w:pPr>
        <w:pStyle w:val="Ttulo2"/>
        <w:rPr>
          <w:rFonts w:ascii="Century Gothic" w:hAnsi="Century Gothic"/>
          <w:lang w:val="es-CO"/>
        </w:rPr>
      </w:pPr>
      <w:r>
        <w:rPr>
          <w:rFonts w:ascii="Century Gothic" w:hAnsi="Century Gothic"/>
          <w:b/>
          <w:bCs/>
          <w:lang w:val="es-CO"/>
        </w:rPr>
        <w:t xml:space="preserve">6. </w:t>
      </w:r>
      <w:r>
        <w:rPr>
          <w:rFonts w:ascii="Century Gothic" w:hAnsi="Century Gothic"/>
          <w:lang w:val="es-CO"/>
        </w:rPr>
        <w:t>Cobertura</w:t>
      </w:r>
      <w:bookmarkEnd w:id="5"/>
    </w:p>
    <w:p>
      <w:pPr>
        <w:pStyle w:val="Normal"/>
        <w:rPr>
          <w:lang w:val="es-CO"/>
        </w:rPr>
      </w:pPr>
      <w:r>
        <w:rPr>
          <w:lang w:val="es-CO"/>
        </w:rPr>
      </w:r>
    </w:p>
    <w:p>
      <w:pPr>
        <w:pStyle w:val="ListParagraph"/>
        <w:numPr>
          <w:ilvl w:val="0"/>
          <w:numId w:val="8"/>
        </w:numPr>
        <w:rPr>
          <w:rFonts w:ascii="Century Gothic" w:hAnsi="Century Gothic"/>
        </w:rPr>
      </w:pPr>
      <w:r>
        <w:rPr>
          <w:rFonts w:ascii="Century Gothic" w:hAnsi="Century Gothic"/>
          <w:b/>
          <w:bCs/>
          <w:lang w:val="es-CO"/>
        </w:rPr>
        <w:t>Geográfica</w:t>
      </w:r>
      <w:r>
        <w:rPr>
          <w:rFonts w:ascii="Century Gothic" w:hAnsi="Century Gothic"/>
          <w:lang w:val="es-CO"/>
        </w:rPr>
        <w:t xml:space="preserve">: </w:t>
      </w:r>
      <w:r>
        <w:rPr>
          <w:rFonts w:ascii="Century Gothic" w:hAnsi="Century Gothic"/>
        </w:rPr>
        <w:t xml:space="preserve">Nacional (Colombia) </w:t>
      </w:r>
    </w:p>
    <w:p>
      <w:pPr>
        <w:pStyle w:val="ListParagraph"/>
        <w:numPr>
          <w:ilvl w:val="0"/>
          <w:numId w:val="8"/>
        </w:numPr>
        <w:spacing w:before="0" w:after="200"/>
        <w:contextualSpacing/>
        <w:jc w:val="both"/>
        <w:rPr>
          <w:lang w:val="es-CO"/>
        </w:rPr>
      </w:pPr>
      <w:r>
        <w:rPr>
          <w:rFonts w:ascii="Century Gothic" w:hAnsi="Century Gothic"/>
          <w:b/>
          <w:bCs/>
          <w:lang w:val="es-CO"/>
        </w:rPr>
        <w:t>Institucional:</w:t>
      </w:r>
      <w:r>
        <w:rPr>
          <w:rFonts w:ascii="Century Gothic" w:hAnsi="Century Gothic"/>
          <w:lang w:val="es-CO"/>
        </w:rPr>
        <w:t xml:space="preserve"> Todas las entidades públicas registradas en SECOP II</w:t>
      </w:r>
      <w:r>
        <w:rPr>
          <w:rFonts w:ascii="Century Gothic" w:hAnsi="Century Gothic"/>
          <w:b/>
          <w:bCs/>
          <w:lang w:val="es-CO"/>
        </w:rPr>
        <w:t xml:space="preserve"> Temporal: </w:t>
      </w:r>
      <w:r>
        <w:rPr>
          <w:rFonts w:ascii="Century Gothic" w:hAnsi="Century Gothic"/>
          <w:lang w:val="es-CO"/>
        </w:rPr>
        <w:t>Desde el inicio de operaciones de SECOP II hasta la fecha actual</w:t>
      </w:r>
      <w:r>
        <w:rPr>
          <w:rFonts w:ascii="Century Gothic" w:hAnsi="Century Gothic"/>
          <w:b/>
          <w:bCs/>
          <w:lang w:val="es-CO"/>
        </w:rPr>
        <w:t xml:space="preserve"> Temática:</w:t>
      </w:r>
      <w:r>
        <w:rPr>
          <w:rFonts w:ascii="Century Gothic" w:hAnsi="Century Gothic"/>
          <w:lang w:val="es-CO"/>
        </w:rPr>
        <w:t xml:space="preserve"> Contratos electrónicos, ejecución presupuestal, proveedores adjudicados, condiciones contractuales, seguimiento financiero y cumplimiento normativo.</w:t>
      </w:r>
    </w:p>
    <w:sectPr>
      <w:headerReference w:type="default" r:id="rId4"/>
      <w:footerReference w:type="default" r:id="rId5"/>
      <w:type w:val="nextPage"/>
      <w:pgSz w:w="12240" w:h="15840"/>
      <w:pgMar w:left="1800" w:right="1800" w:gutter="0" w:header="85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">
    <w:charset w:val="01"/>
    <w:family w:val="roman"/>
    <w:pitch w:val="variable"/>
  </w:font>
  <w:font w:name="Aptos Narrow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00000"/>
      </w:pBdr>
      <w:spacing w:before="0" w:after="0"/>
      <w:rPr>
        <w:rFonts w:ascii="Verdana" w:hAnsi="Verdana"/>
        <w:b/>
        <w:b/>
        <w:bCs/>
        <w:sz w:val="16"/>
        <w:szCs w:val="16"/>
        <w:lang w:val="es-CO"/>
      </w:rPr>
    </w:pPr>
    <w:r>
      <w:rPr>
        <w:rFonts w:ascii="Verdana" w:hAnsi="Verdana"/>
        <w:b/>
        <w:bCs/>
        <w:szCs w:val="20"/>
        <w:lang w:val="es-CO"/>
      </w:rPr>
      <w:t xml:space="preserve">Agencia Nacional de Contratación Pública                     </w:t>
    </w:r>
    <w:r>
      <w:rPr>
        <w:rFonts w:ascii="Verdana" w:hAnsi="Verdana"/>
        <w:b/>
        <w:bCs/>
        <w:sz w:val="16"/>
        <w:szCs w:val="16"/>
        <w:lang w:val="es-ES"/>
      </w:rPr>
      <w:t xml:space="preserve">Página </w:t>
    </w:r>
    <w:r>
      <w:rPr>
        <w:rFonts w:ascii="Verdana" w:hAnsi="Verdana"/>
        <w:b/>
        <w:bCs/>
        <w:sz w:val="16"/>
        <w:szCs w:val="16"/>
        <w:lang w:val="es-CO"/>
      </w:rPr>
      <w:fldChar w:fldCharType="begin"/>
    </w:r>
    <w:r>
      <w:rPr>
        <w:sz w:val="16"/>
        <w:b/>
        <w:szCs w:val="16"/>
        <w:bCs/>
        <w:rFonts w:ascii="Verdana" w:hAnsi="Verdana"/>
        <w:lang w:val="es-CO"/>
      </w:rPr>
      <w:instrText xml:space="preserve"> PAGE \* ARABIC </w:instrText>
    </w:r>
    <w:r>
      <w:rPr>
        <w:sz w:val="16"/>
        <w:b/>
        <w:szCs w:val="16"/>
        <w:bCs/>
        <w:rFonts w:ascii="Verdana" w:hAnsi="Verdana"/>
        <w:lang w:val="es-CO"/>
      </w:rPr>
      <w:fldChar w:fldCharType="separate"/>
    </w:r>
    <w:r>
      <w:rPr>
        <w:sz w:val="16"/>
        <w:b/>
        <w:szCs w:val="16"/>
        <w:bCs/>
        <w:rFonts w:ascii="Verdana" w:hAnsi="Verdana"/>
        <w:lang w:val="es-CO"/>
      </w:rPr>
      <w:t>8</w:t>
    </w:r>
    <w:r>
      <w:rPr>
        <w:sz w:val="16"/>
        <w:b/>
        <w:szCs w:val="16"/>
        <w:bCs/>
        <w:rFonts w:ascii="Verdana" w:hAnsi="Verdana"/>
        <w:lang w:val="es-CO"/>
      </w:rPr>
      <w:fldChar w:fldCharType="end"/>
    </w:r>
    <w:r>
      <w:rPr>
        <w:rFonts w:ascii="Verdana" w:hAnsi="Verdana"/>
        <w:b/>
        <w:bCs/>
        <w:sz w:val="16"/>
        <w:szCs w:val="16"/>
        <w:lang w:val="es-ES"/>
      </w:rPr>
      <w:t xml:space="preserve"> de </w:t>
    </w:r>
    <w:r>
      <w:rPr>
        <w:rFonts w:ascii="Verdana" w:hAnsi="Verdana"/>
        <w:b/>
        <w:bCs/>
        <w:sz w:val="16"/>
        <w:szCs w:val="16"/>
        <w:lang w:val="es-CO"/>
      </w:rPr>
      <w:fldChar w:fldCharType="begin"/>
    </w:r>
    <w:r>
      <w:rPr>
        <w:sz w:val="16"/>
        <w:b/>
        <w:szCs w:val="16"/>
        <w:bCs/>
        <w:rFonts w:ascii="Verdana" w:hAnsi="Verdana"/>
        <w:lang w:val="es-CO"/>
      </w:rPr>
      <w:instrText xml:space="preserve"> NUMPAGES \* ARABIC </w:instrText>
    </w:r>
    <w:r>
      <w:rPr>
        <w:sz w:val="16"/>
        <w:b/>
        <w:szCs w:val="16"/>
        <w:bCs/>
        <w:rFonts w:ascii="Verdana" w:hAnsi="Verdana"/>
        <w:lang w:val="es-CO"/>
      </w:rPr>
      <w:fldChar w:fldCharType="separate"/>
    </w:r>
    <w:r>
      <w:rPr>
        <w:sz w:val="16"/>
        <w:b/>
        <w:szCs w:val="16"/>
        <w:bCs/>
        <w:rFonts w:ascii="Verdana" w:hAnsi="Verdana"/>
        <w:lang w:val="es-CO"/>
      </w:rPr>
      <w:t>8</w:t>
    </w:r>
    <w:r>
      <w:rPr>
        <w:sz w:val="16"/>
        <w:b/>
        <w:szCs w:val="16"/>
        <w:bCs/>
        <w:rFonts w:ascii="Verdana" w:hAnsi="Verdana"/>
        <w:lang w:val="es-CO"/>
      </w:rPr>
      <w:fldChar w:fldCharType="end"/>
    </w:r>
  </w:p>
  <w:p>
    <w:pPr>
      <w:pStyle w:val="Normal"/>
      <w:spacing w:before="0" w:after="0"/>
      <w:rPr>
        <w:rFonts w:ascii="Verdana" w:hAnsi="Verdana"/>
        <w:b/>
        <w:b/>
        <w:bCs/>
        <w:szCs w:val="20"/>
        <w:lang w:val="es-CO"/>
      </w:rPr>
    </w:pPr>
    <w:r>
      <w:rPr>
        <w:rFonts w:ascii="Verdana" w:hAnsi="Verdana"/>
        <w:b/>
        <w:bCs/>
        <w:szCs w:val="20"/>
        <w:lang w:val="es-CO"/>
      </w:rPr>
      <w:t xml:space="preserve">Colombia Compra Eficiente      </w:t>
    </w:r>
  </w:p>
  <w:p>
    <w:pPr>
      <w:pStyle w:val="Normal"/>
      <w:spacing w:before="0" w:after="0"/>
      <w:rPr>
        <w:rFonts w:ascii="Verdana" w:hAnsi="Verdana"/>
        <w:sz w:val="18"/>
        <w:szCs w:val="18"/>
        <w:lang w:val="es-CO"/>
      </w:rPr>
    </w:pPr>
    <w:r>
      <w:rPr>
        <w:rFonts w:ascii="Verdana" w:hAnsi="Verdana"/>
        <w:sz w:val="18"/>
        <w:szCs w:val="18"/>
        <w:lang w:val="es-CO"/>
      </w:rPr>
      <w:t>Dirección: Carrera 7 # 26 – 20 - Bogotá, Colombia</w:t>
    </w:r>
  </w:p>
  <w:p>
    <w:pPr>
      <w:pStyle w:val="Normal"/>
      <w:spacing w:before="0" w:after="0"/>
      <w:rPr>
        <w:rFonts w:ascii="Verdana" w:hAnsi="Verdana"/>
        <w:sz w:val="18"/>
        <w:szCs w:val="18"/>
        <w:lang w:val="es-CO"/>
      </w:rPr>
    </w:pPr>
    <w:r>
      <w:rPr>
        <w:rFonts w:ascii="Verdana" w:hAnsi="Verdana"/>
        <w:sz w:val="18"/>
        <w:szCs w:val="18"/>
        <w:lang w:val="es-CO"/>
      </w:rPr>
      <w:t>Mesa de servicio: (+57) 601 7456788</w:t>
    </w:r>
  </w:p>
  <w:p>
    <w:pPr>
      <w:pStyle w:val="Piedepgina"/>
      <w:rPr>
        <w:rFonts w:ascii="Verdana" w:hAnsi="Verdana"/>
        <w:lang w:val="es-CO"/>
      </w:rPr>
    </w:pPr>
    <w:r>
      <w:rPr>
        <w:rFonts w:ascii="Verdana" w:hAnsi="Verdana"/>
        <w:sz w:val="18"/>
        <w:szCs w:val="18"/>
        <w:lang w:val="es-CO"/>
      </w:rPr>
      <w:t>Atención al ciudadano: (+57) 601 7956600</w:t>
    </w:r>
    <w:r>
      <w:rPr>
        <w:rFonts w:ascii="Verdana" w:hAnsi="Verdana"/>
        <w:szCs w:val="20"/>
        <w:lang w:val="es-CO"/>
      </w:rPr>
      <w:t xml:space="preserve">       </w:t>
    </w:r>
    <w:r>
      <w:rPr>
        <w:rFonts w:ascii="Verdana" w:hAnsi="Verdana"/>
        <w:b/>
        <w:sz w:val="16"/>
        <w:szCs w:val="16"/>
        <w:lang w:val="es-CO"/>
      </w:rPr>
      <w:t xml:space="preserve"> </w:t>
    </w:r>
    <w:r>
      <w:rPr>
        <w:rFonts w:ascii="Verdana" w:hAnsi="Verdana"/>
        <w:bCs/>
        <w:sz w:val="16"/>
        <w:szCs w:val="16"/>
        <w:lang w:val="es-CO"/>
      </w:rPr>
      <w:t xml:space="preserve"> </w:t>
    </w:r>
  </w:p>
  <w:p>
    <w:pPr>
      <w:pStyle w:val="Piedepgina"/>
      <w:rPr>
        <w:lang w:val="es-CO"/>
      </w:rPr>
    </w:pPr>
    <w:r>
      <w:rPr>
        <w:lang w:val="es-CO"/>
      </w:rPr>
    </w:r>
  </w:p>
  <w:p>
    <w:pPr>
      <w:pStyle w:val="Piedepgina"/>
      <w:rPr>
        <w:lang w:val="es-CO"/>
      </w:rPr>
    </w:pPr>
    <w:r>
      <w:rPr>
        <w:lang w:val="es-CO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/>
    </w:pPr>
    <w:r>
      <w:rPr/>
      <w:drawing>
        <wp:anchor behindDoc="1" distT="0" distB="0" distL="0" distR="0" simplePos="0" locked="0" layoutInCell="0" allowOverlap="1" relativeHeight="9">
          <wp:simplePos x="0" y="0"/>
          <wp:positionH relativeFrom="margin">
            <wp:align>center</wp:align>
          </wp:positionH>
          <wp:positionV relativeFrom="paragraph">
            <wp:posOffset>-488315</wp:posOffset>
          </wp:positionV>
          <wp:extent cx="1943100" cy="863600"/>
          <wp:effectExtent l="0" t="0" r="0" b="0"/>
          <wp:wrapNone/>
          <wp:docPr id="1" name="Imagen 1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Times New Roman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Times New Roman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</w:rPr>
  </w:style>
  <w:style w:type="character" w:styleId="TtuloCar" w:customStyle="1">
    <w:name w:val="Título Car"/>
    <w:basedOn w:val="DefaultParagraphFont"/>
    <w:uiPriority w:val="10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EnlacedeInternet">
    <w:name w:val="Hyperlink"/>
    <w:basedOn w:val="DefaultParagraphFont"/>
    <w:uiPriority w:val="99"/>
    <w:unhideWhenUsed/>
    <w:rsid w:val="004f1480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c7bff"/>
    <w:rPr>
      <w:color w:val="605E5C"/>
      <w:shd w:fill="E1DFDD" w:val="clear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Cuerpodetexto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general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imes New Roman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unhideWhenUsed/>
    <w:qFormat/>
    <w:rsid w:val="00fc693f"/>
    <w:pPr>
      <w:outlineLvl w:val="9"/>
    </w:pPr>
    <w:rPr/>
  </w:style>
  <w:style w:type="paragraph" w:styleId="Sumario1">
    <w:name w:val="TOC 1"/>
    <w:basedOn w:val="Normal"/>
    <w:next w:val="Normal"/>
    <w:autoRedefine/>
    <w:uiPriority w:val="39"/>
    <w:unhideWhenUsed/>
    <w:rsid w:val="00776ffa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776ffa"/>
    <w:pPr>
      <w:spacing w:before="0" w:after="100"/>
      <w:ind w:left="220" w:hanging="0"/>
    </w:pPr>
    <w:rPr/>
  </w:style>
  <w:style w:type="paragraph" w:styleId="NormalWeb">
    <w:name w:val="Normal (Web)"/>
    <w:basedOn w:val="Normal"/>
    <w:uiPriority w:val="99"/>
    <w:semiHidden/>
    <w:unhideWhenUsed/>
    <w:qFormat/>
    <w:rsid w:val="00625515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datos.gov.co/Gastos-Gubernamentales/SECOP-II-Procesos-de-Contrataci-n/p6dx-8zbt/about_data" TargetMode="External"/><Relationship Id="rId3" Type="http://schemas.openxmlformats.org/officeDocument/2006/relationships/hyperlink" Target="https://www.datos.gov.co/Estad-sticas-Nacionales/SECOP-II-Contratos-Electr-nicos/jbjy-vk9h/about_data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F467C90D3AA44FAD56A3F24FA739F8" ma:contentTypeVersion="18" ma:contentTypeDescription="Crear nuevo documento." ma:contentTypeScope="" ma:versionID="4e3bc13913b76401eb43efe4ad09d874">
  <xsd:schema xmlns:xsd="http://www.w3.org/2001/XMLSchema" xmlns:xs="http://www.w3.org/2001/XMLSchema" xmlns:p="http://schemas.microsoft.com/office/2006/metadata/properties" xmlns:ns2="3eb71fc0-4b16-438a-8a83-6af8750b73de" xmlns:ns3="a39e57ef-928e-48af-a876-9847393d86d6" targetNamespace="http://schemas.microsoft.com/office/2006/metadata/properties" ma:root="true" ma:fieldsID="c2cbb25fc98a39b5cbe461ca7d863a8e" ns2:_="" ns3:_="">
    <xsd:import namespace="3eb71fc0-4b16-438a-8a83-6af8750b73de"/>
    <xsd:import namespace="a39e57ef-928e-48af-a876-9847393d86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71fc0-4b16-438a-8a83-6af8750b73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11a0eb6-ad86-4071-a759-4f0356bdc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e57ef-928e-48af-a876-9847393d86d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23479c6-b42d-4a25-9eaa-0b7d86e5d48b}" ma:internalName="TaxCatchAll" ma:showField="CatchAllData" ma:web="a39e57ef-928e-48af-a876-9847393d86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71fc0-4b16-438a-8a83-6af8750b73de">
      <Terms xmlns="http://schemas.microsoft.com/office/infopath/2007/PartnerControls"/>
    </lcf76f155ced4ddcb4097134ff3c332f>
    <TaxCatchAll xmlns="a39e57ef-928e-48af-a876-9847393d86d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0AD34E-65B3-40FE-9490-8F2CFCF833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71fc0-4b16-438a-8a83-6af8750b73de"/>
    <ds:schemaRef ds:uri="a39e57ef-928e-48af-a876-9847393d8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48DA21-6091-4C2E-9F52-0FEFE392140E}">
  <ds:schemaRefs>
    <ds:schemaRef ds:uri="http://schemas.microsoft.com/office/2006/metadata/properties"/>
    <ds:schemaRef ds:uri="http://schemas.microsoft.com/office/infopath/2007/PartnerControls"/>
    <ds:schemaRef ds:uri="3eb71fc0-4b16-438a-8a83-6af8750b73de"/>
    <ds:schemaRef ds:uri="a39e57ef-928e-48af-a876-9847393d86d6"/>
  </ds:schemaRefs>
</ds:datastoreItem>
</file>

<file path=customXml/itemProps3.xml><?xml version="1.0" encoding="utf-8"?>
<ds:datastoreItem xmlns:ds="http://schemas.openxmlformats.org/officeDocument/2006/customXml" ds:itemID="{A268822C-DE60-42AD-AFF8-0AE6456259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LibreOffice/7.4.7.2$Linux_X86_64 LibreOffice_project/40$Build-2</Application>
  <AppVersion>15.0000</AppVersion>
  <Pages>8</Pages>
  <Words>1733</Words>
  <Characters>10850</Characters>
  <CharactersWithSpaces>12147</CharactersWithSpaces>
  <Paragraphs>477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2025-10-23T19:28:00Z</dcterms:created>
  <dc:creator>python-docx</dc:creator>
  <dc:description>generated by python-docx</dc:description>
  <dc:language>es-CO</dc:language>
  <cp:lastModifiedBy/>
  <cp:lastPrinted>2025-08-28T20:10:00Z</cp:lastPrinted>
  <dcterms:modified xsi:type="dcterms:W3CDTF">2025-11-20T15:47:38Z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0x01010025F467C90D3AA44FAD56A3F24FA739F8</vt:lpwstr>
  </property>
  <property fmtid="{D5CDD505-2E9C-101B-9397-08002B2CF9AE}" pid="3" name="MediaServiceImageTags">
    <vt:lpwstr/>
  </property>
</Properties>
</file>