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rPr>
          <w:rFonts w:ascii="Century Gothic" w:hAnsi="Century Gothic"/>
          <w:b/>
          <w:b/>
          <w:bCs/>
          <w:sz w:val="48"/>
          <w:szCs w:val="48"/>
          <w:lang w:val="es-CO"/>
        </w:rPr>
      </w:pPr>
      <w:r>
        <w:rPr>
          <w:rFonts w:ascii="Century Gothic" w:hAnsi="Century Gothic"/>
          <w:b/>
          <w:bCs/>
          <w:sz w:val="48"/>
          <w:szCs w:val="48"/>
          <w:lang w:val="es-CO"/>
        </w:rPr>
        <w:t>Diccionario de Datos:</w:t>
      </w:r>
    </w:p>
    <w:p>
      <w:pPr>
        <w:pStyle w:val="Ttulogeneral"/>
        <w:rPr>
          <w:rFonts w:ascii="Century Gothic" w:hAnsi="Century Gothic"/>
          <w:b/>
          <w:b/>
          <w:bCs/>
          <w:sz w:val="48"/>
          <w:szCs w:val="48"/>
          <w:lang w:val="es-CO"/>
        </w:rPr>
      </w:pPr>
      <w:r>
        <w:rPr>
          <w:rFonts w:ascii="Century Gothic" w:hAnsi="Century Gothic"/>
          <w:b/>
          <w:bCs/>
          <w:sz w:val="48"/>
          <w:szCs w:val="48"/>
          <w:lang w:val="es-CO"/>
        </w:rPr>
        <w:t>SECOP II - Adiciones</w:t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jc w:val="center"/>
        <w:rPr>
          <w:rFonts w:ascii="Century Gothic" w:hAnsi="Century Gothic" w:cs="Calibri" w:cstheme="majorHAnsi"/>
          <w:b/>
          <w:b/>
          <w:bCs/>
          <w:sz w:val="36"/>
          <w:szCs w:val="36"/>
          <w:lang w:val="es-CO"/>
        </w:rPr>
      </w:pPr>
      <w:r>
        <w:rPr>
          <w:rFonts w:cs="Calibri" w:ascii="Century Gothic" w:hAnsi="Century Gothic" w:cstheme="majorHAnsi"/>
          <w:b/>
          <w:bCs/>
          <w:sz w:val="36"/>
          <w:szCs w:val="36"/>
          <w:lang w:val="es-CO"/>
        </w:rPr>
        <w:t>Agencia Nacional de Contratación Pública – Colombia Compra Eficiente</w:t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Spacing"/>
        <w:jc w:val="center"/>
        <w:rPr>
          <w:rFonts w:ascii="Century Gothic" w:hAnsi="Century Gothic"/>
          <w:b/>
          <w:b/>
          <w:bCs/>
          <w:sz w:val="36"/>
          <w:szCs w:val="36"/>
          <w:lang w:val="es-CO"/>
        </w:rPr>
      </w:pPr>
      <w:r>
        <w:rPr>
          <w:rFonts w:ascii="Century Gothic" w:hAnsi="Century Gothic"/>
          <w:b/>
          <w:bCs/>
          <w:sz w:val="36"/>
          <w:szCs w:val="36"/>
          <w:lang w:val="es-CO"/>
        </w:rPr>
        <w:t>Subdirección de Información y Desarrollo Tecnológico</w:t>
      </w:r>
    </w:p>
    <w:p>
      <w:pPr>
        <w:pStyle w:val="NoSpacing"/>
        <w:jc w:val="center"/>
        <w:rPr>
          <w:rFonts w:ascii="Century Gothic" w:hAnsi="Century Gothic"/>
          <w:b/>
          <w:b/>
          <w:bCs/>
          <w:sz w:val="36"/>
          <w:szCs w:val="36"/>
          <w:lang w:val="es-CO"/>
        </w:rPr>
      </w:pPr>
      <w:r>
        <w:rPr>
          <w:rFonts w:ascii="Century Gothic" w:hAnsi="Century Gothic"/>
          <w:b/>
          <w:bCs/>
          <w:sz w:val="36"/>
          <w:szCs w:val="36"/>
          <w:lang w:val="es-CO"/>
        </w:rPr>
        <w:t>Sistemas de Información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Spacing"/>
        <w:jc w:val="right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>Fecha: octubre 2025</w:t>
      </w:r>
    </w:p>
    <w:p>
      <w:pPr>
        <w:pStyle w:val="NoSpacing"/>
        <w:jc w:val="right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>Versión: 1.0</w:t>
      </w:r>
    </w:p>
    <w:p>
      <w:pPr>
        <w:pStyle w:val="Normal"/>
        <w:rPr>
          <w:lang w:val="es-CO"/>
        </w:rPr>
      </w:pPr>
      <w:r>
        <w:rPr>
          <w:lang w:val="es-CO"/>
        </w:rPr>
      </w:r>
      <w:r>
        <w:br w:type="page"/>
      </w:r>
    </w:p>
    <w:p>
      <w:pPr>
        <w:pStyle w:val="Ttulo1"/>
        <w:numPr>
          <w:ilvl w:val="0"/>
          <w:numId w:val="7"/>
        </w:numPr>
        <w:rPr>
          <w:rFonts w:ascii="Century Gothic" w:hAnsi="Century Gothic"/>
          <w:lang w:val="es-CO"/>
        </w:rPr>
      </w:pPr>
      <w:bookmarkStart w:id="0" w:name="_Toc207893493"/>
      <w:r>
        <w:rPr>
          <w:rFonts w:ascii="Century Gothic" w:hAnsi="Century Gothic"/>
          <w:lang w:val="es-CO"/>
        </w:rPr>
        <w:t>Objetivo del Documento</w:t>
      </w:r>
      <w:bookmarkEnd w:id="0"/>
    </w:p>
    <w:p>
      <w:pPr>
        <w:pStyle w:val="Normal"/>
        <w:rPr>
          <w:lang w:val="es-CO"/>
        </w:rPr>
      </w:pPr>
      <w:r>
        <w:rPr>
          <w:lang w:val="es-CO"/>
        </w:rPr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El presente diccionario de datos tiene como objetivo proporcionar una descripción clara, estructurada y detallada del conjunto de datos SECOP II - Adiciones, administrado por la Agencia Nacional de Contratación Pública – Colombia Compra Eficiente. Este documento busca facilitar la comprensión, uso, interoperabilidad y análisis de la información relacionada con las modificaciones contractuales registradas en la plataforma SECOP II.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Además, sirve como herramienta técnica de referencia para garantizar la calidad, consistencia y trazabilidad de los datos abiertos publicados en la plataforma de Datos Abiertos Colombia.</w:t>
      </w:r>
    </w:p>
    <w:p>
      <w:pPr>
        <w:pStyle w:val="Ttulo1"/>
        <w:numPr>
          <w:ilvl w:val="0"/>
          <w:numId w:val="7"/>
        </w:numPr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 </w:t>
      </w:r>
      <w:bookmarkStart w:id="1" w:name="_Toc207893495"/>
      <w:r>
        <w:rPr>
          <w:rFonts w:ascii="Century Gothic" w:hAnsi="Century Gothic"/>
          <w:lang w:val="es-CO"/>
        </w:rPr>
        <w:t xml:space="preserve">Conjuntos de Datos:  </w:t>
      </w:r>
      <w:bookmarkEnd w:id="1"/>
      <w:r>
        <w:rPr>
          <w:rFonts w:ascii="Century Gothic" w:hAnsi="Century Gothic"/>
          <w:lang w:val="es-CO"/>
        </w:rPr>
        <w:t xml:space="preserve"> </w:t>
      </w:r>
    </w:p>
    <w:p>
      <w:pPr>
        <w:pStyle w:val="Normal"/>
        <w:jc w:val="both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</w:r>
    </w:p>
    <w:p>
      <w:pPr>
        <w:pStyle w:val="Normal"/>
        <w:jc w:val="both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 </w:t>
      </w:r>
      <w:r>
        <w:rPr>
          <w:rFonts w:ascii="Century Gothic" w:hAnsi="Century Gothic"/>
          <w:b/>
          <w:bCs/>
          <w:lang w:val="es-CO"/>
        </w:rPr>
        <w:t>SECOP II - Adiciones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 </w:t>
      </w:r>
      <w:r>
        <w:rPr>
          <w:rFonts w:ascii="Century Gothic" w:hAnsi="Century Gothic"/>
          <w:lang w:val="es-CO"/>
        </w:rPr>
        <w:t xml:space="preserve">El conjunto de datos </w:t>
      </w:r>
      <w:r>
        <w:rPr>
          <w:rFonts w:ascii="Century Gothic" w:hAnsi="Century Gothic"/>
          <w:b/>
          <w:bCs/>
          <w:lang w:val="es-CO"/>
        </w:rPr>
        <w:t>SECOP II - Adiciones</w:t>
      </w:r>
      <w:r>
        <w:rPr>
          <w:rFonts w:ascii="Century Gothic" w:hAnsi="Century Gothic"/>
          <w:lang w:val="es-CO"/>
        </w:rPr>
        <w:t xml:space="preserve"> contiene información sobre las modificaciones realizadas a los contratos estatales registrados en el sistema SECOP II. Cada registro incluye: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Identificador único del evento de modificación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Identificador del contrato afectado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Tipo de modificación (por ejemplo, adición en valor, tiempo, objeto)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Descripción detallada de la justificación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Fecha de registro de la modificación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Este conjunto permite realizar análisis sobre la evolución contractual, seguimiento de ajustes presupuestales y temporales, evaluación de prácticas de gestión contractual y fortalecimiento de la transparencia institucional.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</w:r>
    </w:p>
    <w:p>
      <w:pPr>
        <w:pStyle w:val="Normal"/>
        <w:jc w:val="both"/>
        <w:rPr>
          <w:rFonts w:ascii="Century Gothic" w:hAnsi="Century Gothic" w:eastAsia="ＭＳ ゴシック" w:cs="Times New Roman" w:cstheme="majorBidi" w:eastAsiaTheme="majorEastAsia"/>
          <w:b/>
          <w:b/>
          <w:bCs/>
          <w:color w:val="365F91" w:themeColor="accent1" w:themeShade="bf"/>
          <w:sz w:val="28"/>
          <w:szCs w:val="28"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 </w:t>
      </w:r>
      <w:r>
        <w:rPr>
          <w:rFonts w:ascii="Century Gothic" w:hAnsi="Century Gothic"/>
          <w:lang w:val="es-CO"/>
        </w:rPr>
        <w:t xml:space="preserve">  </w:t>
      </w:r>
      <w:r>
        <w:rPr>
          <w:rFonts w:eastAsia="ＭＳ ゴシック" w:cs="Times New Roman" w:ascii="Century Gothic" w:hAnsi="Century Gothic" w:cstheme="majorBidi" w:eastAsiaTheme="majorEastAsia"/>
          <w:b/>
          <w:bCs/>
          <w:color w:val="365F91" w:themeColor="accent1" w:themeShade="bf"/>
          <w:sz w:val="28"/>
          <w:szCs w:val="28"/>
          <w:lang w:val="es-CO"/>
        </w:rPr>
        <w:t>3. URL</w:t>
      </w:r>
    </w:p>
    <w:p>
      <w:pPr>
        <w:pStyle w:val="Normal"/>
        <w:rPr>
          <w:lang w:val="es-CO"/>
        </w:rPr>
      </w:pPr>
      <w:hyperlink r:id="rId2">
        <w:r>
          <w:rPr/>
          <w:t>https://www.datos.gov.co/Gastos-Gubernamentales/SECOP-II-Procesos-de-Contrataci-n/p6dx-8zbt/about_data</w:t>
        </w:r>
      </w:hyperlink>
      <w:r>
        <w:rPr>
          <w:lang w:val="es-CO"/>
        </w:rPr>
        <w:t xml:space="preserve"> </w:t>
      </w:r>
      <w:hyperlink r:id="rId3">
        <w:r>
          <w:rPr>
            <w:rStyle w:val="EnlacedeInternet"/>
            <w:lang w:val="es-CO"/>
          </w:rPr>
          <w:t>SECOP II - Adiciones | Datos Abiertos Colombia</w:t>
        </w:r>
      </w:hyperlink>
    </w:p>
    <w:p>
      <w:pPr>
        <w:pStyle w:val="Normal"/>
        <w:rPr>
          <w:lang w:val="es-CO"/>
        </w:rPr>
      </w:pPr>
      <w:r>
        <w:rPr>
          <w:lang w:val="es-CO"/>
        </w:rPr>
      </w:r>
    </w:p>
    <w:p>
      <w:pPr>
        <w:pStyle w:val="Ttulo2"/>
        <w:rPr>
          <w:rFonts w:ascii="Century Gothic" w:hAnsi="Century Gothic"/>
          <w:lang w:val="es-CO"/>
        </w:rPr>
      </w:pPr>
      <w:bookmarkStart w:id="2" w:name="_Toc207893497"/>
      <w:r>
        <w:rPr>
          <w:rFonts w:ascii="Century Gothic" w:hAnsi="Century Gothic"/>
          <w:lang w:val="es-CO"/>
        </w:rPr>
        <w:t>4. Metadatos</w:t>
      </w:r>
      <w:bookmarkEnd w:id="2"/>
    </w:p>
    <w:p>
      <w:pPr>
        <w:pStyle w:val="Normal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Los metadatos asociados a este registro son: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496"/>
        <w:gridCol w:w="1364"/>
        <w:gridCol w:w="4256"/>
        <w:gridCol w:w="1386"/>
        <w:gridCol w:w="1128"/>
      </w:tblGrid>
      <w:tr>
        <w:trPr>
          <w:trHeight w:val="435" w:hRule="atLeast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 w:themeColor="text1" w:themeShade="ff" w:themeTint="ff"/>
                <w:sz w:val="16"/>
                <w:szCs w:val="16"/>
                <w:lang w:val="es-CO" w:eastAsia="es-CO"/>
              </w:rPr>
              <w:t>Num</w:t>
            </w:r>
          </w:p>
        </w:tc>
        <w:tc>
          <w:tcPr>
            <w:tcW w:w="13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val="es-CO" w:eastAsia="es-CO"/>
              </w:rPr>
              <w:t>Nombre de la columna</w:t>
            </w:r>
          </w:p>
        </w:tc>
        <w:tc>
          <w:tcPr>
            <w:tcW w:w="42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val="es-CO" w:eastAsia="es-CO"/>
              </w:rPr>
              <w:t>Descripción</w:t>
            </w:r>
          </w:p>
        </w:tc>
        <w:tc>
          <w:tcPr>
            <w:tcW w:w="13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val="es-CO" w:eastAsia="es-CO"/>
              </w:rPr>
              <w:t>Nombre del campo API</w:t>
            </w:r>
          </w:p>
        </w:tc>
        <w:tc>
          <w:tcPr>
            <w:tcW w:w="11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val="es-CO" w:eastAsia="es-CO"/>
              </w:rPr>
              <w:t>Tipo de Dato</w:t>
            </w:r>
          </w:p>
        </w:tc>
      </w:tr>
      <w:tr>
        <w:trPr>
          <w:trHeight w:val="405" w:hRule="atLeast"/>
        </w:trPr>
        <w:tc>
          <w:tcPr>
            <w:tcW w:w="4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1</w:t>
            </w:r>
          </w:p>
        </w:tc>
        <w:tc>
          <w:tcPr>
            <w:tcW w:w="13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Identificador</w:t>
            </w:r>
          </w:p>
        </w:tc>
        <w:tc>
          <w:tcPr>
            <w:tcW w:w="4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Identificador único del evento de modificación</w:t>
            </w:r>
          </w:p>
        </w:tc>
        <w:tc>
          <w:tcPr>
            <w:tcW w:w="138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identificador</w:t>
            </w:r>
          </w:p>
        </w:tc>
        <w:tc>
          <w:tcPr>
            <w:tcW w:w="112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4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2</w:t>
            </w:r>
          </w:p>
        </w:tc>
        <w:tc>
          <w:tcPr>
            <w:tcW w:w="13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ID Contrato</w:t>
            </w:r>
          </w:p>
        </w:tc>
        <w:tc>
          <w:tcPr>
            <w:tcW w:w="425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Identificador del contrato al que corresponde la modificación</w:t>
            </w:r>
          </w:p>
        </w:tc>
        <w:tc>
          <w:tcPr>
            <w:tcW w:w="138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Id contrato</w:t>
            </w:r>
          </w:p>
        </w:tc>
        <w:tc>
          <w:tcPr>
            <w:tcW w:w="112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4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3</w:t>
            </w:r>
          </w:p>
        </w:tc>
        <w:tc>
          <w:tcPr>
            <w:tcW w:w="13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Tipo</w:t>
            </w:r>
          </w:p>
        </w:tc>
        <w:tc>
          <w:tcPr>
            <w:tcW w:w="425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Tipo de modificación, de acuerdo con el impacto que tiene sobre el contrato</w:t>
            </w:r>
          </w:p>
        </w:tc>
        <w:tc>
          <w:tcPr>
            <w:tcW w:w="138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tipo</w:t>
            </w:r>
          </w:p>
        </w:tc>
        <w:tc>
          <w:tcPr>
            <w:tcW w:w="112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4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4</w:t>
            </w:r>
          </w:p>
        </w:tc>
        <w:tc>
          <w:tcPr>
            <w:tcW w:w="13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Descripción</w:t>
            </w:r>
          </w:p>
        </w:tc>
        <w:tc>
          <w:tcPr>
            <w:tcW w:w="425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Descripción detallada de la justificación de la adición o modificación</w:t>
            </w:r>
          </w:p>
        </w:tc>
        <w:tc>
          <w:tcPr>
            <w:tcW w:w="138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descripción</w:t>
            </w:r>
          </w:p>
        </w:tc>
        <w:tc>
          <w:tcPr>
            <w:tcW w:w="112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4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5</w:t>
            </w:r>
          </w:p>
        </w:tc>
        <w:tc>
          <w:tcPr>
            <w:tcW w:w="13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Fecha Registro</w:t>
            </w:r>
          </w:p>
        </w:tc>
        <w:tc>
          <w:tcPr>
            <w:tcW w:w="425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Fecha en que se hace la modificación</w:t>
            </w:r>
          </w:p>
        </w:tc>
        <w:tc>
          <w:tcPr>
            <w:tcW w:w="1386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Fecha registro</w:t>
            </w:r>
          </w:p>
        </w:tc>
        <w:tc>
          <w:tcPr>
            <w:tcW w:w="112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Marca de tiempo</w:t>
            </w:r>
          </w:p>
        </w:tc>
      </w:tr>
    </w:tbl>
    <w:p>
      <w:pPr>
        <w:pStyle w:val="Normal"/>
        <w:rPr>
          <w:sz w:val="16"/>
          <w:szCs w:val="16"/>
          <w:lang w:val="es-CO"/>
        </w:rPr>
      </w:pPr>
      <w:r>
        <w:rPr>
          <w:sz w:val="16"/>
          <w:szCs w:val="16"/>
          <w:lang w:val="es-CO"/>
        </w:rPr>
      </w:r>
    </w:p>
    <w:p>
      <w:pPr>
        <w:pStyle w:val="Ttulo2"/>
        <w:ind w:left="0" w:hanging="0"/>
        <w:rPr>
          <w:rFonts w:ascii="Century Gothic" w:hAnsi="Century Gothic"/>
          <w:lang w:val="es-CO"/>
        </w:rPr>
      </w:pPr>
      <w:bookmarkStart w:id="3" w:name="_Toc207893499"/>
      <w:r>
        <w:rPr>
          <w:rFonts w:ascii="Century Gothic" w:hAnsi="Century Gothic"/>
          <w:lang w:val="es-CO"/>
        </w:rPr>
        <w:t>5. Frecuencia</w:t>
      </w:r>
      <w:bookmarkEnd w:id="3"/>
    </w:p>
    <w:p>
      <w:pPr>
        <w:pStyle w:val="ListParagraph"/>
        <w:rPr>
          <w:lang w:val="es-CO"/>
        </w:rPr>
      </w:pPr>
      <w:r>
        <w:rPr>
          <w:lang w:val="es-CO"/>
        </w:rPr>
      </w:r>
    </w:p>
    <w:p>
      <w:pPr>
        <w:pStyle w:val="Normal"/>
        <w:jc w:val="both"/>
        <w:rPr>
          <w:rFonts w:ascii="Century Gothic" w:hAnsi="Century Gothic"/>
          <w:lang w:val="es-CO"/>
        </w:rPr>
      </w:pPr>
      <w:bookmarkStart w:id="4" w:name="_Toc207893500"/>
      <w:r>
        <w:rPr>
          <w:rFonts w:ascii="Century Gothic" w:hAnsi="Century Gothic"/>
          <w:lang w:val="es-CO"/>
        </w:rPr>
        <w:t xml:space="preserve">El conjunto de datos se actualiza diariamente, garantizando acceso a información vigente y consolidada sobre las modificaciones contractuales registradas en SECOP II. </w:t>
      </w:r>
    </w:p>
    <w:p>
      <w:pPr>
        <w:pStyle w:val="Ttulo2"/>
        <w:ind w:left="0" w:hanging="0"/>
        <w:rPr>
          <w:rFonts w:ascii="Century Gothic" w:hAnsi="Century Gothic"/>
          <w:lang w:val="es-CO"/>
        </w:rPr>
      </w:pPr>
      <w:bookmarkStart w:id="5" w:name="_Toc207893500"/>
      <w:r>
        <w:rPr>
          <w:rFonts w:ascii="Century Gothic" w:hAnsi="Century Gothic"/>
          <w:lang w:val="es-CO"/>
        </w:rPr>
        <w:t>6. Cobertura</w:t>
      </w:r>
      <w:bookmarkEnd w:id="5"/>
    </w:p>
    <w:p>
      <w:pPr>
        <w:pStyle w:val="ListParagraph"/>
        <w:ind w:left="1440" w:hanging="0"/>
        <w:jc w:val="both"/>
        <w:rPr>
          <w:lang w:val="es-CO"/>
        </w:rPr>
      </w:pPr>
      <w:r>
        <w:rPr>
          <w:lang w:val="es-CO"/>
        </w:rPr>
      </w:r>
    </w:p>
    <w:p>
      <w:pPr>
        <w:pStyle w:val="ListParagraph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>Geográfica:</w:t>
      </w:r>
      <w:r>
        <w:rPr>
          <w:rFonts w:ascii="Century Gothic" w:hAnsi="Century Gothic"/>
          <w:lang w:val="es-CO"/>
        </w:rPr>
        <w:t xml:space="preserve"> Nacional (Colombia) </w:t>
      </w:r>
    </w:p>
    <w:p>
      <w:pPr>
        <w:pStyle w:val="ListParagraph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Institucional: </w:t>
      </w:r>
      <w:r>
        <w:rPr>
          <w:rFonts w:ascii="Century Gothic" w:hAnsi="Century Gothic"/>
          <w:lang w:val="es-CO"/>
        </w:rPr>
        <w:t xml:space="preserve">Todas las entidades públicas que registran contratos en SECOP II </w:t>
      </w:r>
    </w:p>
    <w:p>
      <w:pPr>
        <w:pStyle w:val="ListParagraph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>Temporal:</w:t>
      </w:r>
      <w:r>
        <w:rPr>
          <w:rFonts w:ascii="Century Gothic" w:hAnsi="Century Gothic"/>
          <w:lang w:val="es-CO"/>
        </w:rPr>
        <w:t xml:space="preserve"> Desde el inicio de operaciones de SECOP II hasta la fecha actual </w:t>
      </w:r>
    </w:p>
    <w:p>
      <w:pPr>
        <w:pStyle w:val="ListParagraph"/>
        <w:numPr>
          <w:ilvl w:val="0"/>
          <w:numId w:val="9"/>
        </w:numPr>
        <w:spacing w:before="0" w:after="200"/>
        <w:contextualSpacing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>Temática:</w:t>
      </w:r>
      <w:r>
        <w:rPr>
          <w:rFonts w:ascii="Century Gothic" w:hAnsi="Century Gothic"/>
          <w:lang w:val="es-CO"/>
        </w:rPr>
        <w:t xml:space="preserve"> Modificaciones contractuales, adiciones en valor y tiempo, justificaciones, fechas de registro</w:t>
      </w:r>
    </w:p>
    <w:sectPr>
      <w:headerReference w:type="default" r:id="rId4"/>
      <w:footerReference w:type="default" r:id="rId5"/>
      <w:type w:val="nextPage"/>
      <w:pgSz w:w="12240" w:h="15840"/>
      <w:pgMar w:left="1800" w:right="1800" w:gutter="0" w:header="85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">
    <w:charset w:val="01"/>
    <w:family w:val="roman"/>
    <w:pitch w:val="variable"/>
  </w:font>
  <w:font w:name="Aptos Narrow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spacing w:before="0" w:after="0"/>
      <w:rPr>
        <w:rFonts w:ascii="Verdana" w:hAnsi="Verdana"/>
        <w:b/>
        <w:b/>
        <w:bCs/>
        <w:sz w:val="16"/>
        <w:szCs w:val="16"/>
        <w:lang w:val="es-CO"/>
      </w:rPr>
    </w:pPr>
    <w:r>
      <w:rPr>
        <w:rFonts w:ascii="Verdana" w:hAnsi="Verdana"/>
        <w:b/>
        <w:bCs/>
        <w:szCs w:val="20"/>
        <w:lang w:val="es-CO"/>
      </w:rPr>
      <w:t xml:space="preserve">Agencia Nacional de Contratación Pública                     </w:t>
    </w:r>
    <w:r>
      <w:rPr>
        <w:rFonts w:ascii="Verdana" w:hAnsi="Verdana"/>
        <w:b/>
        <w:bCs/>
        <w:sz w:val="16"/>
        <w:szCs w:val="16"/>
        <w:lang w:val="es-ES"/>
      </w:rPr>
      <w:t xml:space="preserve">Página </w:t>
    </w:r>
    <w:r>
      <w:rPr>
        <w:rFonts w:ascii="Verdana" w:hAnsi="Verdana"/>
        <w:b/>
        <w:bCs/>
        <w:sz w:val="16"/>
        <w:szCs w:val="16"/>
        <w:lang w:val="es-CO"/>
      </w:rPr>
      <w:fldChar w:fldCharType="begin"/>
    </w:r>
    <w:r>
      <w:rPr>
        <w:sz w:val="16"/>
        <w:b/>
        <w:szCs w:val="16"/>
        <w:bCs/>
        <w:rFonts w:ascii="Verdana" w:hAnsi="Verdana"/>
        <w:lang w:val="es-CO"/>
      </w:rPr>
      <w:instrText xml:space="preserve"> PAGE \* ARABIC </w:instrText>
    </w:r>
    <w:r>
      <w:rPr>
        <w:sz w:val="16"/>
        <w:b/>
        <w:szCs w:val="16"/>
        <w:bCs/>
        <w:rFonts w:ascii="Verdana" w:hAnsi="Verdana"/>
        <w:lang w:val="es-CO"/>
      </w:rPr>
      <w:fldChar w:fldCharType="separate"/>
    </w:r>
    <w:r>
      <w:rPr>
        <w:sz w:val="16"/>
        <w:b/>
        <w:szCs w:val="16"/>
        <w:bCs/>
        <w:rFonts w:ascii="Verdana" w:hAnsi="Verdana"/>
        <w:lang w:val="es-CO"/>
      </w:rPr>
      <w:t>4</w:t>
    </w:r>
    <w:r>
      <w:rPr>
        <w:sz w:val="16"/>
        <w:b/>
        <w:szCs w:val="16"/>
        <w:bCs/>
        <w:rFonts w:ascii="Verdana" w:hAnsi="Verdana"/>
        <w:lang w:val="es-CO"/>
      </w:rPr>
      <w:fldChar w:fldCharType="end"/>
    </w:r>
    <w:r>
      <w:rPr>
        <w:rFonts w:ascii="Verdana" w:hAnsi="Verdana"/>
        <w:b/>
        <w:bCs/>
        <w:sz w:val="16"/>
        <w:szCs w:val="16"/>
        <w:lang w:val="es-ES"/>
      </w:rPr>
      <w:t xml:space="preserve"> de </w:t>
    </w:r>
    <w:r>
      <w:rPr>
        <w:rFonts w:ascii="Verdana" w:hAnsi="Verdana"/>
        <w:b/>
        <w:bCs/>
        <w:sz w:val="16"/>
        <w:szCs w:val="16"/>
        <w:lang w:val="es-CO"/>
      </w:rPr>
      <w:fldChar w:fldCharType="begin"/>
    </w:r>
    <w:r>
      <w:rPr>
        <w:sz w:val="16"/>
        <w:b/>
        <w:szCs w:val="16"/>
        <w:bCs/>
        <w:rFonts w:ascii="Verdana" w:hAnsi="Verdana"/>
        <w:lang w:val="es-CO"/>
      </w:rPr>
      <w:instrText xml:space="preserve"> NUMPAGES \* ARABIC </w:instrText>
    </w:r>
    <w:r>
      <w:rPr>
        <w:sz w:val="16"/>
        <w:b/>
        <w:szCs w:val="16"/>
        <w:bCs/>
        <w:rFonts w:ascii="Verdana" w:hAnsi="Verdana"/>
        <w:lang w:val="es-CO"/>
      </w:rPr>
      <w:fldChar w:fldCharType="separate"/>
    </w:r>
    <w:r>
      <w:rPr>
        <w:sz w:val="16"/>
        <w:b/>
        <w:szCs w:val="16"/>
        <w:bCs/>
        <w:rFonts w:ascii="Verdana" w:hAnsi="Verdana"/>
        <w:lang w:val="es-CO"/>
      </w:rPr>
      <w:t>4</w:t>
    </w:r>
    <w:r>
      <w:rPr>
        <w:sz w:val="16"/>
        <w:b/>
        <w:szCs w:val="16"/>
        <w:bCs/>
        <w:rFonts w:ascii="Verdana" w:hAnsi="Verdana"/>
        <w:lang w:val="es-CO"/>
      </w:rPr>
      <w:fldChar w:fldCharType="end"/>
    </w:r>
  </w:p>
  <w:p>
    <w:pPr>
      <w:pStyle w:val="Normal"/>
      <w:spacing w:before="0" w:after="0"/>
      <w:rPr>
        <w:rFonts w:ascii="Verdana" w:hAnsi="Verdana"/>
        <w:b/>
        <w:b/>
        <w:bCs/>
        <w:szCs w:val="20"/>
        <w:lang w:val="es-CO"/>
      </w:rPr>
    </w:pPr>
    <w:r>
      <w:rPr>
        <w:rFonts w:ascii="Verdana" w:hAnsi="Verdana"/>
        <w:b/>
        <w:bCs/>
        <w:szCs w:val="20"/>
        <w:lang w:val="es-CO"/>
      </w:rPr>
      <w:t xml:space="preserve">Colombia Compra Eficiente      </w:t>
    </w:r>
  </w:p>
  <w:p>
    <w:pPr>
      <w:pStyle w:val="Normal"/>
      <w:spacing w:before="0" w:after="0"/>
      <w:rPr>
        <w:rFonts w:ascii="Verdana" w:hAnsi="Verdana"/>
        <w:sz w:val="18"/>
        <w:szCs w:val="18"/>
        <w:lang w:val="es-CO"/>
      </w:rPr>
    </w:pPr>
    <w:r>
      <w:rPr>
        <w:rFonts w:ascii="Verdana" w:hAnsi="Verdana"/>
        <w:sz w:val="18"/>
        <w:szCs w:val="18"/>
        <w:lang w:val="es-CO"/>
      </w:rPr>
      <w:t>Dirección: Carrera 7 # 26 – 20 - Bogotá, Colombia</w:t>
    </w:r>
  </w:p>
  <w:p>
    <w:pPr>
      <w:pStyle w:val="Normal"/>
      <w:spacing w:before="0" w:after="0"/>
      <w:rPr>
        <w:rFonts w:ascii="Verdana" w:hAnsi="Verdana"/>
        <w:sz w:val="18"/>
        <w:szCs w:val="18"/>
        <w:lang w:val="es-CO"/>
      </w:rPr>
    </w:pPr>
    <w:r>
      <w:rPr>
        <w:rFonts w:ascii="Verdana" w:hAnsi="Verdana"/>
        <w:sz w:val="18"/>
        <w:szCs w:val="18"/>
        <w:lang w:val="es-CO"/>
      </w:rPr>
      <w:t>Mesa de servicio: (+57) 601 7456788</w:t>
    </w:r>
  </w:p>
  <w:p>
    <w:pPr>
      <w:pStyle w:val="Piedepgina"/>
      <w:rPr>
        <w:rFonts w:ascii="Verdana" w:hAnsi="Verdana"/>
        <w:lang w:val="es-CO"/>
      </w:rPr>
    </w:pPr>
    <w:r>
      <w:rPr>
        <w:rFonts w:ascii="Verdana" w:hAnsi="Verdana"/>
        <w:sz w:val="18"/>
        <w:szCs w:val="18"/>
        <w:lang w:val="es-CO"/>
      </w:rPr>
      <w:t>Atención al ciudadano: (+57) 601 7956600</w:t>
    </w:r>
    <w:r>
      <w:rPr>
        <w:rFonts w:ascii="Verdana" w:hAnsi="Verdana"/>
        <w:szCs w:val="20"/>
        <w:lang w:val="es-CO"/>
      </w:rPr>
      <w:t xml:space="preserve">       </w:t>
    </w:r>
    <w:r>
      <w:rPr>
        <w:rFonts w:ascii="Verdana" w:hAnsi="Verdana"/>
        <w:b/>
        <w:sz w:val="16"/>
        <w:szCs w:val="16"/>
        <w:lang w:val="es-CO"/>
      </w:rPr>
      <w:t xml:space="preserve"> </w:t>
    </w:r>
    <w:r>
      <w:rPr>
        <w:rFonts w:ascii="Verdana" w:hAnsi="Verdana"/>
        <w:bCs/>
        <w:sz w:val="16"/>
        <w:szCs w:val="16"/>
        <w:lang w:val="es-CO"/>
      </w:rPr>
      <w:t xml:space="preserve"> </w:t>
    </w:r>
  </w:p>
  <w:p>
    <w:pPr>
      <w:pStyle w:val="Piedepgina"/>
      <w:rPr>
        <w:lang w:val="es-CO"/>
      </w:rPr>
    </w:pPr>
    <w:r>
      <w:rPr>
        <w:lang w:val="es-CO"/>
      </w:rPr>
    </w:r>
  </w:p>
  <w:p>
    <w:pPr>
      <w:pStyle w:val="Piedepgina"/>
      <w:rPr>
        <w:lang w:val="es-CO"/>
      </w:rPr>
    </w:pPr>
    <w:r>
      <w:rPr>
        <w:lang w:val="es-CO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margin">
            <wp:align>center</wp:align>
          </wp:positionH>
          <wp:positionV relativeFrom="paragraph">
            <wp:posOffset>-488315</wp:posOffset>
          </wp:positionV>
          <wp:extent cx="1943100" cy="863600"/>
          <wp:effectExtent l="0" t="0" r="0" b="0"/>
          <wp:wrapNone/>
          <wp:docPr id="1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EnlacedeInternet">
    <w:name w:val="Hyperlink"/>
    <w:basedOn w:val="DefaultParagraphFont"/>
    <w:uiPriority w:val="99"/>
    <w:unhideWhenUsed/>
    <w:rsid w:val="004f1480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7bff"/>
    <w:rPr>
      <w:color w:val="605E5C"/>
      <w:shd w:fill="E1DFDD" w:val="clear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Cuerpodetexto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unhideWhenUsed/>
    <w:qFormat/>
    <w:rsid w:val="00fc693f"/>
    <w:pPr>
      <w:outlineLvl w:val="9"/>
    </w:pPr>
    <w:rPr/>
  </w:style>
  <w:style w:type="paragraph" w:styleId="Sumario1">
    <w:name w:val="TOC 1"/>
    <w:basedOn w:val="Normal"/>
    <w:next w:val="Normal"/>
    <w:autoRedefine/>
    <w:uiPriority w:val="39"/>
    <w:unhideWhenUsed/>
    <w:rsid w:val="00776ffa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776ffa"/>
    <w:pPr>
      <w:spacing w:before="0" w:after="100"/>
      <w:ind w:left="220" w:hanging="0"/>
    </w:pPr>
    <w:rPr/>
  </w:style>
  <w:style w:type="paragraph" w:styleId="NormalWeb">
    <w:name w:val="Normal (Web)"/>
    <w:basedOn w:val="Normal"/>
    <w:uiPriority w:val="99"/>
    <w:semiHidden/>
    <w:unhideWhenUsed/>
    <w:qFormat/>
    <w:rsid w:val="00625515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atos.gov.co/Gastos-Gubernamentales/SECOP-II-Procesos-de-Contrataci-n/p6dx-8zbt/about_data" TargetMode="External"/><Relationship Id="rId3" Type="http://schemas.openxmlformats.org/officeDocument/2006/relationships/hyperlink" Target="https://www.datos.gov.co/Gastos-Gubernamentales/SECOP-II-Adiciones/cb9c-h8sn/about_data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F467C90D3AA44FAD56A3F24FA739F8" ma:contentTypeVersion="18" ma:contentTypeDescription="Crear nuevo documento." ma:contentTypeScope="" ma:versionID="4e3bc13913b76401eb43efe4ad09d874">
  <xsd:schema xmlns:xsd="http://www.w3.org/2001/XMLSchema" xmlns:xs="http://www.w3.org/2001/XMLSchema" xmlns:p="http://schemas.microsoft.com/office/2006/metadata/properties" xmlns:ns2="3eb71fc0-4b16-438a-8a83-6af8750b73de" xmlns:ns3="a39e57ef-928e-48af-a876-9847393d86d6" targetNamespace="http://schemas.microsoft.com/office/2006/metadata/properties" ma:root="true" ma:fieldsID="c2cbb25fc98a39b5cbe461ca7d863a8e" ns2:_="" ns3:_="">
    <xsd:import namespace="3eb71fc0-4b16-438a-8a83-6af8750b73de"/>
    <xsd:import namespace="a39e57ef-928e-48af-a876-9847393d86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1fc0-4b16-438a-8a83-6af8750b73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e57ef-928e-48af-a876-9847393d8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23479c6-b42d-4a25-9eaa-0b7d86e5d48b}" ma:internalName="TaxCatchAll" ma:showField="CatchAllData" ma:web="a39e57ef-928e-48af-a876-9847393d86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1fc0-4b16-438a-8a83-6af8750b73de">
      <Terms xmlns="http://schemas.microsoft.com/office/infopath/2007/PartnerControls"/>
    </lcf76f155ced4ddcb4097134ff3c332f>
    <TaxCatchAll xmlns="a39e57ef-928e-48af-a876-9847393d86d6" xsi:nil="true"/>
  </documentManagement>
</p:properties>
</file>

<file path=customXml/itemProps1.xml><?xml version="1.0" encoding="utf-8"?>
<ds:datastoreItem xmlns:ds="http://schemas.openxmlformats.org/officeDocument/2006/customXml" ds:itemID="{900AD34E-65B3-40FE-9490-8F2CFCF83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1fc0-4b16-438a-8a83-6af8750b73de"/>
    <ds:schemaRef ds:uri="a39e57ef-928e-48af-a876-9847393d8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68822C-DE60-42AD-AFF8-0AE6456259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48DA21-6091-4C2E-9F52-0FEFE392140E}">
  <ds:schemaRefs>
    <ds:schemaRef ds:uri="http://schemas.microsoft.com/office/2006/metadata/properties"/>
    <ds:schemaRef ds:uri="http://schemas.microsoft.com/office/infopath/2007/PartnerControls"/>
    <ds:schemaRef ds:uri="3eb71fc0-4b16-438a-8a83-6af8750b73de"/>
    <ds:schemaRef ds:uri="a39e57ef-928e-48af-a876-9847393d86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Application>LibreOffice/7.4.7.2$Linux_X86_64 LibreOffice_project/40$Build-2</Application>
  <AppVersion>15.0000</AppVersion>
  <Pages>4</Pages>
  <Words>420</Words>
  <Characters>2587</Characters>
  <CharactersWithSpaces>2982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2025-10-23T20:01:00Z</dcterms:created>
  <dc:creator>python-docx</dc:creator>
  <dc:description>generated by python-docx</dc:description>
  <dc:language>es-CO</dc:language>
  <cp:lastModifiedBy/>
  <cp:lastPrinted>2025-08-28T20:10:00Z</cp:lastPrinted>
  <dcterms:modified xsi:type="dcterms:W3CDTF">2025-11-20T22:06:50Z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0x01010025F467C90D3AA44FAD56A3F24FA739F8</vt:lpwstr>
  </property>
  <property fmtid="{D5CDD505-2E9C-101B-9397-08002B2CF9AE}" pid="3" name="MediaServiceImageTags">
    <vt:lpwstr/>
  </property>
</Properties>
</file>