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rPr>
          <w:rFonts w:ascii="Roboto" w:hAnsi="Roboto" w:eastAsia="Times New Roman" w:cs="Times New Roman"/>
          <w:color w:val="auto"/>
          <w:spacing w:val="-5"/>
          <w:sz w:val="30"/>
          <w:szCs w:val="30"/>
          <w:lang w:val="es-CO" w:eastAsia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>Diccionario de Datos:</w:t>
      </w:r>
      <w:r>
        <w:rPr>
          <w:rFonts w:eastAsia="Times New Roman" w:cs="Times New Roman" w:ascii="Roboto" w:hAnsi="Roboto"/>
          <w:color w:val="auto"/>
          <w:spacing w:val="-5"/>
          <w:sz w:val="30"/>
          <w:szCs w:val="30"/>
          <w:lang w:val="es-CO" w:eastAsia="es-CO"/>
        </w:rPr>
        <w:t xml:space="preserve"> </w:t>
      </w:r>
    </w:p>
    <w:p>
      <w:pPr>
        <w:pStyle w:val="Ttulogeneral"/>
        <w:rPr>
          <w:rFonts w:ascii="Century Gothic" w:hAnsi="Century Gothic"/>
          <w:b/>
          <w:b/>
          <w:bCs/>
          <w:sz w:val="48"/>
          <w:szCs w:val="48"/>
          <w:lang w:val="es-CO"/>
        </w:rPr>
      </w:pPr>
      <w:r>
        <w:rPr>
          <w:rFonts w:ascii="Century Gothic" w:hAnsi="Century Gothic"/>
          <w:b/>
          <w:bCs/>
          <w:sz w:val="48"/>
          <w:szCs w:val="48"/>
          <w:lang w:val="es-CO"/>
        </w:rPr>
        <w:t>SECOP II - Ejecución Contratos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rmal"/>
        <w:jc w:val="center"/>
        <w:rPr>
          <w:rFonts w:ascii="Century Gothic" w:hAnsi="Century Gothic" w:cs="Calibri" w:cstheme="majorHAnsi"/>
          <w:b/>
          <w:b/>
          <w:bCs/>
          <w:sz w:val="36"/>
          <w:szCs w:val="36"/>
          <w:lang w:val="es-CO"/>
        </w:rPr>
      </w:pPr>
      <w:r>
        <w:rPr>
          <w:rFonts w:cs="Calibri" w:ascii="Century Gothic" w:hAnsi="Century Gothic" w:cstheme="majorHAnsi"/>
          <w:b/>
          <w:bCs/>
          <w:sz w:val="36"/>
          <w:szCs w:val="36"/>
          <w:lang w:val="es-CO"/>
        </w:rPr>
        <w:t>Agencia Nacional de Contratación Pública – Colombia Compra Eficiente</w:t>
      </w:r>
    </w:p>
    <w:p>
      <w:pPr>
        <w:pStyle w:val="Normal"/>
        <w:rPr>
          <w:rFonts w:ascii="Century Gothic" w:hAnsi="Century Gothic" w:cs="Calibri" w:cs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entury Gothic" w:hAnsi="Century Gothic"/>
          <w:b/>
          <w:bCs/>
          <w:sz w:val="28"/>
          <w:szCs w:val="28"/>
          <w:lang w:val="es-CO"/>
        </w:rPr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Subdirección de Información y Desarrollo Tecnológico</w:t>
      </w:r>
    </w:p>
    <w:p>
      <w:pPr>
        <w:pStyle w:val="NoSpacing"/>
        <w:jc w:val="center"/>
        <w:rPr>
          <w:rFonts w:ascii="Century Gothic" w:hAnsi="Century Gothic"/>
          <w:b/>
          <w:b/>
          <w:bCs/>
          <w:sz w:val="36"/>
          <w:szCs w:val="36"/>
          <w:lang w:val="es-CO"/>
        </w:rPr>
      </w:pPr>
      <w:r>
        <w:rPr>
          <w:rFonts w:ascii="Century Gothic" w:hAnsi="Century Gothic"/>
          <w:b/>
          <w:bCs/>
          <w:sz w:val="36"/>
          <w:szCs w:val="36"/>
          <w:lang w:val="es-CO"/>
        </w:rPr>
        <w:t>Sistemas de Información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  <w:lang w:val="es-CO"/>
        </w:rPr>
      </w:pPr>
      <w:r>
        <w:rPr>
          <w:rFonts w:cs="Calibri" w:cstheme="majorHAnsi" w:ascii="Calibri" w:hAnsi="Calibri"/>
          <w:b/>
          <w:bCs/>
          <w:sz w:val="28"/>
          <w:szCs w:val="28"/>
          <w:lang w:val="es-CO"/>
        </w:rPr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Fecha: octubre 2025</w:t>
      </w:r>
    </w:p>
    <w:p>
      <w:pPr>
        <w:pStyle w:val="NoSpacing"/>
        <w:jc w:val="right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>Versión: 1.0</w:t>
      </w:r>
    </w:p>
    <w:p>
      <w:pPr>
        <w:pStyle w:val="Normal"/>
        <w:rPr>
          <w:lang w:val="es-CO"/>
        </w:rPr>
      </w:pPr>
      <w:r>
        <w:rPr>
          <w:lang w:val="es-CO"/>
        </w:rPr>
      </w:r>
      <w:r>
        <w:br w:type="page"/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bookmarkStart w:id="0" w:name="_Toc207893493"/>
      <w:r>
        <w:rPr>
          <w:rFonts w:ascii="Century Gothic" w:hAnsi="Century Gothic"/>
          <w:lang w:val="es-CO"/>
        </w:rPr>
        <w:t>Objetivo del Documento</w:t>
      </w:r>
      <w:bookmarkEnd w:id="0"/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El presente diccionario de datos tiene como objetivo proporcionar una descripción clara, estructurada y detallada del conjunto de datos SECOP II - Ejecución Contratos, administrado por la Agencia Nacional de Contratación Pública – Colombia Compra Eficiente. Este documento busca facilitar la comprensión, uso, interoperabilidad y análisis de la información relacionada con el seguimiento de la ejecución de los contratos estatales registrados en la plataforma SECOP II.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Además, sirve como herramienta técnica de referencia para garantizar la calidad, consistencia y trazabilidad de los datos abiertos publicados en la plataforma de Datos Abiertos Colombia.</w:t>
      </w:r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</w:p>
    <w:p>
      <w:pPr>
        <w:pStyle w:val="Ttulo1"/>
        <w:numPr>
          <w:ilvl w:val="0"/>
          <w:numId w:val="7"/>
        </w:numPr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bookmarkStart w:id="1" w:name="_Toc207893495"/>
      <w:r>
        <w:rPr>
          <w:rFonts w:ascii="Century Gothic" w:hAnsi="Century Gothic"/>
          <w:lang w:val="es-CO"/>
        </w:rPr>
        <w:t xml:space="preserve">Conjuntos de Datos:  </w:t>
      </w:r>
      <w:bookmarkEnd w:id="1"/>
      <w:r>
        <w:rPr>
          <w:rFonts w:ascii="Century Gothic" w:hAnsi="Century Gothic"/>
          <w:lang w:val="es-CO"/>
        </w:rPr>
        <w:t xml:space="preserve"> </w:t>
      </w:r>
    </w:p>
    <w:p>
      <w:pPr>
        <w:pStyle w:val="Normal"/>
        <w:jc w:val="both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</w:r>
    </w:p>
    <w:p>
      <w:pPr>
        <w:pStyle w:val="Normal"/>
        <w:jc w:val="both"/>
        <w:rPr>
          <w:rFonts w:ascii="Century Gothic" w:hAnsi="Century Gothic"/>
          <w:b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>
        <w:rPr>
          <w:rFonts w:ascii="Century Gothic" w:hAnsi="Century Gothic"/>
          <w:b/>
          <w:bCs/>
          <w:lang w:val="es-CO"/>
        </w:rPr>
        <w:t>SECOP II - Ejecución Contratos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El conjunto de datos </w:t>
      </w:r>
      <w:r>
        <w:rPr>
          <w:rFonts w:ascii="Century Gothic" w:hAnsi="Century Gothic"/>
          <w:b/>
          <w:bCs/>
          <w:lang w:val="es-CO"/>
        </w:rPr>
        <w:t>SECOP II - Ejecución Contratos</w:t>
      </w:r>
      <w:r>
        <w:rPr>
          <w:rFonts w:ascii="Century Gothic" w:hAnsi="Century Gothic"/>
          <w:lang w:val="es-CO"/>
        </w:rPr>
        <w:t xml:space="preserve"> contiene información sobre el avance físico y financiero de los contratos estatales registrados en el sistema SECOP II. Cada registro incluye: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Identificador del contrato y del plan de ejecución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Tipo de ejecución (por entregables o porcentaje)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Fechas esperadas y reales de entrega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Porcentajes de avance esperado y real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Estado del contrato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Detalles de artículos, cantidades adjudicadas, planeadas, recibidas y por recibir</w:t>
      </w:r>
    </w:p>
    <w:p>
      <w:pPr>
        <w:pStyle w:val="Normal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Unidad de medida y descripción de la ejecución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Este conjunto permite realizar análisis sobre el cumplimiento contractual, seguimiento de entregables, evaluación de desempeño de contratistas y fortalecimiento de la transparencia en la contratación pública.</w:t>
      </w:r>
    </w:p>
    <w:p>
      <w:pPr>
        <w:pStyle w:val="Normal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</w:r>
    </w:p>
    <w:p>
      <w:pPr>
        <w:pStyle w:val="Normal"/>
        <w:jc w:val="both"/>
        <w:rPr>
          <w:rFonts w:ascii="Century Gothic" w:hAnsi="Century Gothic" w:eastAsia="ＭＳ ゴシック" w:cs="Times New Roman" w:cstheme="majorBidi" w:eastAsiaTheme="majorEastAsia"/>
          <w:b/>
          <w:b/>
          <w:bCs/>
          <w:color w:val="365F91" w:themeColor="accent1" w:themeShade="bf"/>
          <w:sz w:val="28"/>
          <w:szCs w:val="28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>
        <w:rPr>
          <w:rFonts w:ascii="Century Gothic" w:hAnsi="Century Gothic"/>
          <w:lang w:val="es-CO"/>
        </w:rPr>
        <w:t xml:space="preserve">  </w:t>
      </w:r>
      <w:r>
        <w:rPr>
          <w:rFonts w:eastAsia="ＭＳ ゴシック" w:cs="Times New Roman" w:ascii="Century Gothic" w:hAnsi="Century Gothic" w:cstheme="majorBidi" w:eastAsiaTheme="majorEastAsia"/>
          <w:b/>
          <w:bCs/>
          <w:color w:val="365F91" w:themeColor="accent1" w:themeShade="bf"/>
          <w:sz w:val="28"/>
          <w:szCs w:val="28"/>
          <w:lang w:val="es-CO"/>
        </w:rPr>
        <w:t>3. URL</w:t>
      </w:r>
    </w:p>
    <w:p>
      <w:pPr>
        <w:pStyle w:val="Normal"/>
        <w:rPr>
          <w:lang w:val="es-CO"/>
        </w:rPr>
      </w:pPr>
      <w:hyperlink r:id="rId2">
        <w:r>
          <w:rPr/>
          <w:t>https://www.datos.gov.co/Gastos-Gubernamentales/SECOP-II-Procesos-de-Contrataci-n/p6dx-8zbt/about_data</w:t>
        </w:r>
      </w:hyperlink>
      <w:r>
        <w:rPr>
          <w:lang w:val="es-CO"/>
        </w:rPr>
        <w:t xml:space="preserve"> </w:t>
      </w:r>
      <w:hyperlink r:id="rId3">
        <w:r>
          <w:rPr/>
          <w:t>https://www.datos.gov.co/Gastos-Gubernamentales/SECOP-Convenios-Interadministrativos/s484-c9k3/about_data</w:t>
        </w:r>
      </w:hyperlink>
      <w:r>
        <w:rPr>
          <w:lang w:val="es-CO"/>
        </w:rPr>
        <w:t xml:space="preserve"> </w:t>
      </w:r>
      <w:hyperlink r:id="rId4">
        <w:r>
          <w:rPr>
            <w:rStyle w:val="EnlacedeInternet"/>
            <w:lang w:val="es-CO"/>
          </w:rPr>
          <w:t>SECOP II - Ejecución Contratos | Datos Abiertos Colombia</w:t>
        </w:r>
      </w:hyperlink>
    </w:p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Ttulo2"/>
        <w:rPr>
          <w:rFonts w:ascii="Century Gothic" w:hAnsi="Century Gothic"/>
          <w:lang w:val="es-CO"/>
        </w:rPr>
      </w:pPr>
      <w:bookmarkStart w:id="2" w:name="_Toc207893497"/>
      <w:r>
        <w:rPr>
          <w:rFonts w:ascii="Century Gothic" w:hAnsi="Century Gothic"/>
          <w:lang w:val="es-CO"/>
        </w:rPr>
        <w:t>4. Metadatos</w:t>
      </w:r>
      <w:bookmarkEnd w:id="2"/>
    </w:p>
    <w:p>
      <w:pPr>
        <w:pStyle w:val="Normal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>Los metadatos asociados a este registro son: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524"/>
        <w:gridCol w:w="1314"/>
        <w:gridCol w:w="3264"/>
        <w:gridCol w:w="1984"/>
        <w:gridCol w:w="1544"/>
      </w:tblGrid>
      <w:tr>
        <w:trPr>
          <w:tblHeader w:val="true"/>
          <w:trHeight w:val="495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Num</w:t>
            </w:r>
          </w:p>
        </w:tc>
        <w:tc>
          <w:tcPr>
            <w:tcW w:w="13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 la columna</w:t>
            </w:r>
          </w:p>
        </w:tc>
        <w:tc>
          <w:tcPr>
            <w:tcW w:w="32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Descripción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del campo API</w:t>
            </w:r>
          </w:p>
        </w:tc>
        <w:tc>
          <w:tcPr>
            <w:tcW w:w="15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Tipo de Dato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1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Identificador del Contrato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Enlaza el plan de ejecución con el contrato correspondiente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identificadorcontrato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2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Tipo de Ejecución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Determina si el plan se reporta en términos de entregables o de porcentaje de avance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tipoejecucion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620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3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Nombre del Plan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Nombre del Plan de Ejecución del contrato, refiere al identificador único con el que se crea la programación de avance de la ejecución del contrato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nombreplan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4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Fecha de Entrega Esperada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Fecha de Entrega esperada del último entregable registrado en el plan de avance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fechadeentregaesperada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Marca de tiempo variable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Porcentaje de Avance Esperado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Porcentaje de avance esperado para el proyecto a la fecha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porcentajedeavanceesperado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Número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6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Fecha de Entrega Real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Fecha de Entrega real del último entregable registrado en el plan de avance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fechadeentregareal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Marca de tiempo variable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7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Porcentaje de avance real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Porcentaje de ejecución real del proyecto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porcentaje_de_avance_real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Número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8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Estado del contrato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Estado de la ejecución del contrato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estado_del_contrato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9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 w:themeShade="ff" w:themeTint="ff"/>
                <w:sz w:val="16"/>
                <w:szCs w:val="16"/>
                <w:lang w:val="es-CO" w:eastAsia="es-CO"/>
              </w:rPr>
              <w:t>Referencia de artículos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 w:themeShade="ff" w:themeTint="ff"/>
                <w:sz w:val="16"/>
                <w:szCs w:val="16"/>
                <w:lang w:val="es-CO" w:eastAsia="es-CO"/>
              </w:rPr>
              <w:t>Referencia de los artículos de la ejecución del contrato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 w:themeShade="ff" w:themeTint="ff"/>
                <w:sz w:val="16"/>
                <w:szCs w:val="16"/>
                <w:lang w:val="es-CO" w:eastAsia="es-CO"/>
              </w:rPr>
              <w:t>referencia_de_articulos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10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Descripción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Descripción de la ejecución del contrato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descripci_n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11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 w:themeShade="ff" w:themeTint="ff"/>
                <w:sz w:val="16"/>
                <w:szCs w:val="16"/>
                <w:lang w:val="es-CO" w:eastAsia="es-CO"/>
              </w:rPr>
              <w:t>Unidad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 w:themeShade="ff" w:themeTint="ff"/>
                <w:sz w:val="16"/>
                <w:szCs w:val="16"/>
                <w:lang w:val="es-CO" w:eastAsia="es-CO"/>
              </w:rPr>
              <w:t>Unidad de la ejecución del contrato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 w:themeShade="ff" w:themeTint="ff"/>
                <w:sz w:val="16"/>
                <w:szCs w:val="16"/>
                <w:lang w:val="es-CO" w:eastAsia="es-CO"/>
              </w:rPr>
              <w:t>unidad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12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 adjudicada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 adjudicada para la ejecución del contrato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cantidad_adjudicada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Número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13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 planeada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 inicial planeada para la ejecución del contrato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cantidad_planeada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Número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 w:themeColor="text1" w:themeShade="ff" w:themeTint="ff"/>
                <w:sz w:val="16"/>
                <w:szCs w:val="16"/>
                <w:lang w:val="es-CO" w:eastAsia="es-CO"/>
              </w:rPr>
              <w:t>14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 Recibida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 real de elementos real, recibida a la fecha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 w:themeShade="ff" w:themeTint="ff"/>
                <w:sz w:val="16"/>
                <w:szCs w:val="16"/>
                <w:lang w:val="es-CO" w:eastAsia="es-CO"/>
              </w:rPr>
              <w:t>cantidadrecibida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 w:themeShade="ff" w:themeTint="ff"/>
                <w:sz w:val="16"/>
                <w:szCs w:val="16"/>
                <w:lang w:val="es-CO" w:eastAsia="es-CO"/>
              </w:rPr>
              <w:t>Texto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15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Cantidad por Recibir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Cantidad de elementos estimada por recibir, de acuerdo con el plan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Arial" w:ascii="Arial" w:hAnsi="Arial"/>
                <w:color w:val="158466"/>
                <w:sz w:val="14"/>
                <w:szCs w:val="14"/>
                <w:lang w:val="es-CO" w:eastAsia="es-CO"/>
              </w:rPr>
              <w:t>cantidadporrecibir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color w:val="158466"/>
              </w:rPr>
            </w:pPr>
            <w:r>
              <w:rPr>
                <w:rFonts w:eastAsia="Times New Roman" w:cs="Times New Roman" w:ascii="Aptos Narrow" w:hAnsi="Aptos Narrow"/>
                <w:color w:val="158466"/>
                <w:sz w:val="14"/>
                <w:szCs w:val="14"/>
                <w:lang w:val="es-CO" w:eastAsia="es-CO"/>
              </w:rPr>
              <w:t>Número</w:t>
            </w:r>
          </w:p>
        </w:tc>
      </w:tr>
      <w:tr>
        <w:trPr>
          <w:trHeight w:val="405" w:hRule="atLeast"/>
        </w:trPr>
        <w:tc>
          <w:tcPr>
            <w:tcW w:w="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16</w:t>
            </w:r>
          </w:p>
        </w:tc>
        <w:tc>
          <w:tcPr>
            <w:tcW w:w="13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 w:themeColor="text1"/>
                <w:sz w:val="14"/>
                <w:szCs w:val="14"/>
                <w:lang w:val="es-CO" w:eastAsia="es-CO"/>
              </w:rPr>
              <w:t>Fecha Creación</w:t>
            </w:r>
          </w:p>
        </w:tc>
        <w:tc>
          <w:tcPr>
            <w:tcW w:w="326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Fecha de Creación del registro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4"/>
                <w:szCs w:val="14"/>
                <w:lang w:val="es-CO" w:eastAsia="es-CO"/>
              </w:rPr>
              <w:t>fechacreacion</w:t>
            </w:r>
          </w:p>
        </w:tc>
        <w:tc>
          <w:tcPr>
            <w:tcW w:w="154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Times New Roman" w:ascii="Aptos Narrow" w:hAnsi="Aptos Narrow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</w:tbl>
    <w:p>
      <w:pPr>
        <w:pStyle w:val="Normal"/>
        <w:rPr>
          <w:lang w:val="es-CO"/>
        </w:rPr>
      </w:pPr>
      <w:r>
        <w:rPr>
          <w:lang w:val="es-CO"/>
        </w:rPr>
      </w:r>
    </w:p>
    <w:p>
      <w:pPr>
        <w:pStyle w:val="Ttulo2"/>
        <w:ind w:left="360" w:hanging="0"/>
        <w:rPr>
          <w:rFonts w:ascii="Century Gothic" w:hAnsi="Century Gothic"/>
          <w:lang w:val="es-CO"/>
        </w:rPr>
      </w:pPr>
      <w:bookmarkStart w:id="3" w:name="_Toc207893499"/>
      <w:r>
        <w:rPr>
          <w:rFonts w:ascii="Century Gothic" w:hAnsi="Century Gothic"/>
          <w:lang w:val="es-CO"/>
        </w:rPr>
        <w:t>5. Frecuencia</w:t>
      </w:r>
      <w:bookmarkEnd w:id="3"/>
    </w:p>
    <w:p>
      <w:pPr>
        <w:pStyle w:val="Normal"/>
        <w:ind w:left="360" w:hanging="0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</w:r>
    </w:p>
    <w:p>
      <w:pPr>
        <w:pStyle w:val="Normal"/>
        <w:ind w:left="360" w:hanging="0"/>
        <w:jc w:val="both"/>
        <w:rPr>
          <w:rFonts w:ascii="Century Gothic" w:hAnsi="Century Gothic"/>
          <w:lang w:val="es-CO"/>
        </w:rPr>
      </w:pPr>
      <w:bookmarkStart w:id="4" w:name="_Toc207893500"/>
      <w:r>
        <w:rPr>
          <w:rFonts w:ascii="Century Gothic" w:hAnsi="Century Gothic"/>
          <w:lang w:val="es-CO"/>
        </w:rPr>
        <w:t xml:space="preserve"> </w:t>
      </w:r>
      <w:r>
        <w:rPr>
          <w:rFonts w:ascii="Century Gothic" w:hAnsi="Century Gothic"/>
          <w:lang w:val="es-CO"/>
        </w:rPr>
        <w:t xml:space="preserve">El conjunto de datos se actualiza </w:t>
      </w:r>
      <w:r>
        <w:rPr>
          <w:rFonts w:ascii="Century Gothic" w:hAnsi="Century Gothic"/>
          <w:b/>
          <w:bCs/>
          <w:lang w:val="es-CO"/>
        </w:rPr>
        <w:t>diariamente</w:t>
      </w:r>
      <w:r>
        <w:rPr>
          <w:rFonts w:ascii="Century Gothic" w:hAnsi="Century Gothic"/>
          <w:lang w:val="es-CO"/>
        </w:rPr>
        <w:t>, garantizando acceso a información vigente y consolidada sobre la ejecución de los contratos registrados en SECOP II.</w:t>
      </w:r>
    </w:p>
    <w:p>
      <w:pPr>
        <w:pStyle w:val="Ttulo2"/>
        <w:ind w:left="360" w:hanging="0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6.</w:t>
      </w:r>
      <w:r>
        <w:rPr>
          <w:rFonts w:ascii="Century Gothic" w:hAnsi="Century Gothic"/>
          <w:lang w:val="es-CO"/>
        </w:rPr>
        <w:t xml:space="preserve"> Cobertura</w:t>
      </w:r>
      <w:bookmarkEnd w:id="4"/>
    </w:p>
    <w:p>
      <w:pPr>
        <w:pStyle w:val="ListParagraph"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</w:r>
    </w:p>
    <w:p>
      <w:pPr>
        <w:pStyle w:val="ListParagraph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Geográfica:</w:t>
      </w:r>
      <w:r>
        <w:rPr>
          <w:rFonts w:ascii="Century Gothic" w:hAnsi="Century Gothic"/>
          <w:lang w:val="es-CO"/>
        </w:rPr>
        <w:t xml:space="preserve"> Nacional (Colombia) </w:t>
      </w:r>
    </w:p>
    <w:p>
      <w:pPr>
        <w:pStyle w:val="ListParagraph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Institucional:</w:t>
      </w:r>
      <w:r>
        <w:rPr>
          <w:rFonts w:ascii="Century Gothic" w:hAnsi="Century Gothic"/>
          <w:lang w:val="es-CO"/>
        </w:rPr>
        <w:t xml:space="preserve"> Todas las entidades públicas que registran contratos en SECOP II </w:t>
      </w:r>
    </w:p>
    <w:p>
      <w:pPr>
        <w:pStyle w:val="ListParagraph"/>
        <w:numPr>
          <w:ilvl w:val="0"/>
          <w:numId w:val="8"/>
        </w:num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Temporal:</w:t>
      </w:r>
      <w:r>
        <w:rPr>
          <w:rFonts w:ascii="Century Gothic" w:hAnsi="Century Gothic"/>
          <w:lang w:val="es-CO"/>
        </w:rPr>
        <w:t xml:space="preserve"> Desde el inicio de operaciones de SECOP II hasta la fecha actual </w:t>
      </w:r>
    </w:p>
    <w:p>
      <w:pPr>
        <w:pStyle w:val="ListParagraph"/>
        <w:numPr>
          <w:ilvl w:val="0"/>
          <w:numId w:val="8"/>
        </w:numPr>
        <w:spacing w:before="0" w:after="200"/>
        <w:contextualSpacing/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b/>
          <w:bCs/>
          <w:lang w:val="es-CO"/>
        </w:rPr>
        <w:t>Temática:</w:t>
      </w:r>
      <w:r>
        <w:rPr>
          <w:rFonts w:ascii="Century Gothic" w:hAnsi="Century Gothic"/>
          <w:lang w:val="es-CO"/>
        </w:rPr>
        <w:t xml:space="preserve"> Ejecución contractual, seguimiento de entregables, avance físico y financiero, cumplimiento de metas contractuales  </w:t>
      </w:r>
    </w:p>
    <w:sectPr>
      <w:headerReference w:type="default" r:id="rId5"/>
      <w:footerReference w:type="default" r:id="rId6"/>
      <w:type w:val="nextPage"/>
      <w:pgSz w:w="12240" w:h="15840"/>
      <w:pgMar w:left="1800" w:right="1800" w:gutter="0" w:header="85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Roboto">
    <w:charset w:val="01"/>
    <w:family w:val="roman"/>
    <w:pitch w:val="variable"/>
  </w:font>
  <w:font w:name="Arial">
    <w:charset w:val="01"/>
    <w:family w:val="roman"/>
    <w:pitch w:val="variable"/>
  </w:font>
  <w:font w:name="Aptos Narrow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spacing w:before="0" w:after="0"/>
      <w:rPr>
        <w:rFonts w:ascii="Verdana" w:hAnsi="Verdana"/>
        <w:b/>
        <w:b/>
        <w:bCs/>
        <w:sz w:val="16"/>
        <w:szCs w:val="16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Agencia Nacional de Contratación Pública                     </w:t>
    </w:r>
    <w:r>
      <w:rPr>
        <w:rFonts w:ascii="Verdana" w:hAnsi="Verdana"/>
        <w:b/>
        <w:bCs/>
        <w:sz w:val="16"/>
        <w:szCs w:val="16"/>
        <w:lang w:val="es-ES"/>
      </w:rPr>
      <w:t xml:space="preserve">Página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PAGE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4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  <w:r>
      <w:rPr>
        <w:rFonts w:ascii="Verdana" w:hAnsi="Verdana"/>
        <w:b/>
        <w:bCs/>
        <w:sz w:val="16"/>
        <w:szCs w:val="16"/>
        <w:lang w:val="es-ES"/>
      </w:rPr>
      <w:t xml:space="preserve"> de </w:t>
    </w:r>
    <w:r>
      <w:rPr>
        <w:rFonts w:ascii="Verdana" w:hAnsi="Verdana"/>
        <w:b/>
        <w:bCs/>
        <w:sz w:val="16"/>
        <w:szCs w:val="16"/>
        <w:lang w:val="es-CO"/>
      </w:rPr>
      <w:fldChar w:fldCharType="begin"/>
    </w:r>
    <w:r>
      <w:rPr>
        <w:sz w:val="16"/>
        <w:b/>
        <w:szCs w:val="16"/>
        <w:bCs/>
        <w:rFonts w:ascii="Verdana" w:hAnsi="Verdana"/>
        <w:lang w:val="es-CO"/>
      </w:rPr>
      <w:instrText xml:space="preserve"> NUMPAGES \* ARABIC </w:instrText>
    </w:r>
    <w:r>
      <w:rPr>
        <w:sz w:val="16"/>
        <w:b/>
        <w:szCs w:val="16"/>
        <w:bCs/>
        <w:rFonts w:ascii="Verdana" w:hAnsi="Verdana"/>
        <w:lang w:val="es-CO"/>
      </w:rPr>
      <w:fldChar w:fldCharType="separate"/>
    </w:r>
    <w:r>
      <w:rPr>
        <w:sz w:val="16"/>
        <w:b/>
        <w:szCs w:val="16"/>
        <w:bCs/>
        <w:rFonts w:ascii="Verdana" w:hAnsi="Verdana"/>
        <w:lang w:val="es-CO"/>
      </w:rPr>
      <w:t>4</w:t>
    </w:r>
    <w:r>
      <w:rPr>
        <w:sz w:val="16"/>
        <w:b/>
        <w:szCs w:val="16"/>
        <w:bCs/>
        <w:rFonts w:ascii="Verdana" w:hAnsi="Verdana"/>
        <w:lang w:val="es-CO"/>
      </w:rPr>
      <w:fldChar w:fldCharType="end"/>
    </w:r>
  </w:p>
  <w:p>
    <w:pPr>
      <w:pStyle w:val="Normal"/>
      <w:spacing w:before="0" w:after="0"/>
      <w:rPr>
        <w:rFonts w:ascii="Verdana" w:hAnsi="Verdana"/>
        <w:b/>
        <w:b/>
        <w:bCs/>
        <w:szCs w:val="20"/>
        <w:lang w:val="es-CO"/>
      </w:rPr>
    </w:pPr>
    <w:r>
      <w:rPr>
        <w:rFonts w:ascii="Verdana" w:hAnsi="Verdana"/>
        <w:b/>
        <w:bCs/>
        <w:szCs w:val="20"/>
        <w:lang w:val="es-CO"/>
      </w:rPr>
      <w:t xml:space="preserve">Colombia Compra Eficiente      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Dirección: Carrera 7 # 26 – 20 - Bogotá, Colombia</w:t>
    </w:r>
  </w:p>
  <w:p>
    <w:pPr>
      <w:pStyle w:val="Normal"/>
      <w:spacing w:before="0" w:after="0"/>
      <w:rPr>
        <w:rFonts w:ascii="Verdana" w:hAnsi="Verdana"/>
        <w:sz w:val="18"/>
        <w:szCs w:val="18"/>
        <w:lang w:val="es-CO"/>
      </w:rPr>
    </w:pPr>
    <w:r>
      <w:rPr>
        <w:rFonts w:ascii="Verdana" w:hAnsi="Verdana"/>
        <w:sz w:val="18"/>
        <w:szCs w:val="18"/>
        <w:lang w:val="es-CO"/>
      </w:rPr>
      <w:t>Mesa de servicio: (+57) 601 7456788</w:t>
    </w:r>
  </w:p>
  <w:p>
    <w:pPr>
      <w:pStyle w:val="Piedepgina"/>
      <w:rPr>
        <w:rFonts w:ascii="Verdana" w:hAnsi="Verdana"/>
        <w:lang w:val="es-CO"/>
      </w:rPr>
    </w:pPr>
    <w:r>
      <w:rPr>
        <w:rFonts w:ascii="Verdana" w:hAnsi="Verdana"/>
        <w:sz w:val="18"/>
        <w:szCs w:val="18"/>
        <w:lang w:val="es-CO"/>
      </w:rPr>
      <w:t>Atención al ciudadano: (+57) 601 7956600</w:t>
    </w:r>
    <w:r>
      <w:rPr>
        <w:rFonts w:ascii="Verdana" w:hAnsi="Verdana"/>
        <w:szCs w:val="20"/>
        <w:lang w:val="es-CO"/>
      </w:rPr>
      <w:t xml:space="preserve">       </w:t>
    </w:r>
    <w:r>
      <w:rPr>
        <w:rFonts w:ascii="Verdana" w:hAnsi="Verdana"/>
        <w:b/>
        <w:sz w:val="16"/>
        <w:szCs w:val="16"/>
        <w:lang w:val="es-CO"/>
      </w:rPr>
      <w:t xml:space="preserve"> </w:t>
    </w:r>
    <w:r>
      <w:rPr>
        <w:rFonts w:ascii="Verdana" w:hAnsi="Verdana"/>
        <w:bCs/>
        <w:sz w:val="16"/>
        <w:szCs w:val="16"/>
        <w:lang w:val="es-CO"/>
      </w:rPr>
      <w:t xml:space="preserve"> </w:t>
    </w:r>
  </w:p>
  <w:p>
    <w:pPr>
      <w:pStyle w:val="Piedepgina"/>
      <w:rPr>
        <w:lang w:val="es-CO"/>
      </w:rPr>
    </w:pPr>
    <w:r>
      <w:rPr>
        <w:lang w:val="es-CO"/>
      </w:rPr>
    </w:r>
  </w:p>
  <w:p>
    <w:pPr>
      <w:pStyle w:val="Piedepgina"/>
      <w:rPr>
        <w:lang w:val="es-CO"/>
      </w:rPr>
    </w:pPr>
    <w:r>
      <w:rPr>
        <w:lang w:val="es-CO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align>center</wp:align>
          </wp:positionH>
          <wp:positionV relativeFrom="paragraph">
            <wp:posOffset>-488315</wp:posOffset>
          </wp:positionV>
          <wp:extent cx="1943100" cy="863600"/>
          <wp:effectExtent l="0" t="0" r="0" b="0"/>
          <wp:wrapNone/>
          <wp:docPr id="1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EnlacedeInternet">
    <w:name w:val="Hyperlink"/>
    <w:basedOn w:val="DefaultParagraphFont"/>
    <w:uiPriority w:val="99"/>
    <w:unhideWhenUsed/>
    <w:rsid w:val="004f148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7bff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Cuerpodetexto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fc693f"/>
    <w:pPr>
      <w:outlineLvl w:val="9"/>
    </w:pPr>
    <w:rPr/>
  </w:style>
  <w:style w:type="paragraph" w:styleId="Sumario1">
    <w:name w:val="TOC 1"/>
    <w:basedOn w:val="Normal"/>
    <w:next w:val="Normal"/>
    <w:autoRedefine/>
    <w:uiPriority w:val="39"/>
    <w:unhideWhenUsed/>
    <w:rsid w:val="00776ffa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76ffa"/>
    <w:pPr>
      <w:spacing w:before="0" w:after="100"/>
      <w:ind w:left="220" w:hanging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25515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atos.gov.co/Gastos-Gubernamentales/SECOP-II-Procesos-de-Contrataci-n/p6dx-8zbt/about_data" TargetMode="External"/><Relationship Id="rId3" Type="http://schemas.openxmlformats.org/officeDocument/2006/relationships/hyperlink" Target="https://www.datos.gov.co/Gastos-Gubernamentales/SECOP-Convenios-Interadministrativos/s484-c9k3/about_data" TargetMode="External"/><Relationship Id="rId4" Type="http://schemas.openxmlformats.org/officeDocument/2006/relationships/hyperlink" Target="https://www.datos.gov.co/Gastos-Gubernamentales/SECOP-II-Ejecuci-n-Contratos/mfmm-jqmq/about_data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467C90D3AA44FAD56A3F24FA739F8" ma:contentTypeVersion="18" ma:contentTypeDescription="Crear nuevo documento." ma:contentTypeScope="" ma:versionID="4e3bc13913b76401eb43efe4ad09d874">
  <xsd:schema xmlns:xsd="http://www.w3.org/2001/XMLSchema" xmlns:xs="http://www.w3.org/2001/XMLSchema" xmlns:p="http://schemas.microsoft.com/office/2006/metadata/properties" xmlns:ns2="3eb71fc0-4b16-438a-8a83-6af8750b73de" xmlns:ns3="a39e57ef-928e-48af-a876-9847393d86d6" targetNamespace="http://schemas.microsoft.com/office/2006/metadata/properties" ma:root="true" ma:fieldsID="c2cbb25fc98a39b5cbe461ca7d863a8e" ns2:_="" ns3:_="">
    <xsd:import namespace="3eb71fc0-4b16-438a-8a83-6af8750b73de"/>
    <xsd:import namespace="a39e57ef-928e-48af-a876-9847393d86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1fc0-4b16-438a-8a83-6af8750b7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e57ef-928e-48af-a876-9847393d8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3479c6-b42d-4a25-9eaa-0b7d86e5d48b}" ma:internalName="TaxCatchAll" ma:showField="CatchAllData" ma:web="a39e57ef-928e-48af-a876-9847393d86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1fc0-4b16-438a-8a83-6af8750b73de">
      <Terms xmlns="http://schemas.microsoft.com/office/infopath/2007/PartnerControls"/>
    </lcf76f155ced4ddcb4097134ff3c332f>
    <TaxCatchAll xmlns="a39e57ef-928e-48af-a876-9847393d86d6" xsi:nil="true"/>
  </documentManagement>
</p:properties>
</file>

<file path=customXml/itemProps1.xml><?xml version="1.0" encoding="utf-8"?>
<ds:datastoreItem xmlns:ds="http://schemas.openxmlformats.org/officeDocument/2006/customXml" ds:itemID="{900AD34E-65B3-40FE-9490-8F2CFCF83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1fc0-4b16-438a-8a83-6af8750b73de"/>
    <ds:schemaRef ds:uri="a39e57ef-928e-48af-a876-9847393d8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68822C-DE60-42AD-AFF8-0AE645625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48DA21-6091-4C2E-9F52-0FEFE392140E}">
  <ds:schemaRefs>
    <ds:schemaRef ds:uri="http://schemas.microsoft.com/office/2006/metadata/properties"/>
    <ds:schemaRef ds:uri="http://schemas.microsoft.com/office/infopath/2007/PartnerControls"/>
    <ds:schemaRef ds:uri="3eb71fc0-4b16-438a-8a83-6af8750b73de"/>
    <ds:schemaRef ds:uri="a39e57ef-928e-48af-a876-9847393d86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LibreOffice/7.4.7.2$Linux_X86_64 LibreOffice_project/40$Build-2</Application>
  <AppVersion>15.0000</AppVersion>
  <Pages>4</Pages>
  <Words>645</Words>
  <Characters>3972</Characters>
  <CharactersWithSpaces>4536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2025-10-23T17:29:00Z</dcterms:created>
  <dc:creator>python-docx</dc:creator>
  <dc:description>generated by python-docx</dc:description>
  <dc:language>es-CO</dc:language>
  <cp:lastModifiedBy/>
  <cp:lastPrinted>2025-08-28T20:10:00Z</cp:lastPrinted>
  <dcterms:modified xsi:type="dcterms:W3CDTF">2025-11-21T17:58:15Z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0x01010025F467C90D3AA44FAD56A3F24FA739F8</vt:lpwstr>
  </property>
  <property fmtid="{D5CDD505-2E9C-101B-9397-08002B2CF9AE}" pid="3" name="MediaServiceImageTags">
    <vt:lpwstr/>
  </property>
</Properties>
</file>