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977898">
      <w:pPr>
        <w:keepLines/>
        <w:spacing w:after="40"/>
        <w:rPr>
          <w:rFonts w:hint="default" w:ascii="Calibri" w:hAnsi="Calibri" w:cs="Calibri"/>
        </w:rPr>
      </w:pPr>
      <w:r>
        <w:rPr>
          <w:rFonts w:hint="default" w:ascii="Calibri" w:hAnsi="Calibri" w:cs="Calibri"/>
          <w:b/>
          <w:color w:val="2F5597"/>
          <w:sz w:val="17"/>
        </w:rPr>
        <w:t>RESEARCH PROOF OF CONCEPT</w:t>
      </w:r>
    </w:p>
    <w:p w14:paraId="1173C51E">
      <w:pPr>
        <w:keepLines/>
        <w:spacing w:after="40"/>
        <w:rPr>
          <w:rFonts w:hint="default" w:ascii="Calibri" w:hAnsi="Calibri" w:cs="Calibri"/>
        </w:rPr>
      </w:pPr>
      <w:r>
        <w:rPr>
          <w:rFonts w:hint="default" w:ascii="Calibri" w:hAnsi="Calibri" w:cs="Calibri"/>
          <w:b/>
          <w:color w:val="17365D"/>
          <w:sz w:val="46"/>
        </w:rPr>
        <w:t>QuantLab: Top-Down Factor Strategy</w:t>
      </w:r>
    </w:p>
    <w:p w14:paraId="03E5A318">
      <w:pPr>
        <w:keepLines/>
        <w:spacing w:after="160"/>
        <w:rPr>
          <w:rFonts w:hint="default" w:ascii="Calibri" w:hAnsi="Calibri" w:cs="Calibri"/>
        </w:rPr>
      </w:pPr>
      <w:r>
        <w:rPr>
          <w:rFonts w:hint="default" w:ascii="Calibri" w:hAnsi="Calibri" w:cs="Calibri"/>
          <w:color w:val="6B7280"/>
          <w:sz w:val="23"/>
        </w:rPr>
        <w:t>From factor views to stock selection, portfolio construction, and validation</w:t>
      </w:r>
    </w:p>
    <w:p w14:paraId="24BFA21F">
      <w:pPr>
        <w:pStyle w:val="2"/>
        <w:keepLines/>
        <w:rPr>
          <w:rFonts w:hint="default" w:ascii="Calibri" w:hAnsi="Calibri" w:cs="Calibri"/>
        </w:rPr>
      </w:pPr>
      <w:r>
        <w:rPr>
          <w:rFonts w:hint="default" w:ascii="Calibri" w:hAnsi="Calibri" w:cs="Calibri"/>
        </w:rPr>
        <w:t>1. Executive summary</w:t>
      </w:r>
      <w:bookmarkStart w:id="0" w:name="_GoBack"/>
      <w:bookmarkEnd w:id="0"/>
    </w:p>
    <w:p w14:paraId="71149ED8">
      <w:pPr>
        <w:keepLines/>
        <w:spacing w:after="90" w:line="254" w:lineRule="auto"/>
        <w:rPr>
          <w:rFonts w:hint="default" w:ascii="Calibri" w:hAnsi="Calibri" w:cs="Calibri"/>
        </w:rPr>
      </w:pPr>
      <w:r>
        <w:rPr>
          <w:rFonts w:hint="default" w:ascii="Calibri" w:hAnsi="Calibri" w:cs="Calibri"/>
        </w:rPr>
        <w:t>QuantLab is a research implementation of a returns-first factor architecture for US equities. Instead of assigning stock exposures only from company descriptors or classifications, the model first builds investable factor return streams, then estimates how each stock has behaved relative to those returns. The goal is to translate a macro, style, sector, industry, country, or thematic view into a ranked stock portfolio with explicit risk controls.</w:t>
      </w:r>
    </w:p>
    <w:p w14:paraId="3313A37E">
      <w:pPr>
        <w:keepLines/>
        <w:spacing w:after="90" w:line="254" w:lineRule="auto"/>
        <w:rPr>
          <w:rFonts w:hint="default" w:ascii="Calibri" w:hAnsi="Calibri" w:cs="Calibri"/>
        </w:rPr>
      </w:pPr>
      <w:r>
        <w:rPr>
          <w:rFonts w:hint="default" w:ascii="Calibri" w:hAnsi="Calibri" w:cs="Calibri"/>
        </w:rPr>
        <w:t>I have built both characteristic-first, Barra-style models and returns-first models. Barra-style models remain the industry standard for structured risk control, attribution, and optimization. QuantLab is intentionally a different lens: it focuses on observed market sensitivity, including exposures that can emerge through supply chains, revenue geography, financing conditions, themes, and investor positioning. I see the two approaches as complementary rather than substitutes.</w:t>
      </w:r>
    </w:p>
    <w:tbl>
      <w:tblPr>
        <w:tblStyle w:val="12"/>
        <w:tblW w:w="0" w:type="auto"/>
        <w:jc w:val="center"/>
        <w:tblLayout w:type="fixed"/>
        <w:tblCellMar>
          <w:top w:w="0" w:type="dxa"/>
          <w:left w:w="108" w:type="dxa"/>
          <w:bottom w:w="0" w:type="dxa"/>
          <w:right w:w="108" w:type="dxa"/>
        </w:tblCellMar>
      </w:tblPr>
      <w:tblGrid>
        <w:gridCol w:w="1469"/>
        <w:gridCol w:w="1469"/>
        <w:gridCol w:w="1469"/>
        <w:gridCol w:w="1469"/>
        <w:gridCol w:w="1469"/>
        <w:gridCol w:w="1469"/>
        <w:gridCol w:w="1469"/>
      </w:tblGrid>
      <w:tr w14:paraId="08E2EDE8">
        <w:tblPrEx>
          <w:tblCellMar>
            <w:top w:w="0" w:type="dxa"/>
            <w:left w:w="108" w:type="dxa"/>
            <w:bottom w:w="0" w:type="dxa"/>
            <w:right w:w="108" w:type="dxa"/>
          </w:tblCellMar>
        </w:tblPrEx>
        <w:trPr>
          <w:jc w:val="center"/>
        </w:trPr>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521A3D34">
            <w:pPr>
              <w:spacing w:after="0"/>
              <w:jc w:val="center"/>
              <w:rPr>
                <w:rFonts w:hint="default" w:ascii="Calibri" w:hAnsi="Calibri" w:cs="Calibri"/>
              </w:rPr>
            </w:pPr>
            <w:r>
              <w:rPr>
                <w:rFonts w:hint="default" w:ascii="Calibri" w:hAnsi="Calibri" w:cs="Calibri"/>
                <w:b/>
                <w:color w:val="17365D"/>
                <w:sz w:val="18"/>
              </w:rPr>
              <w:t>Factor returns</w:t>
            </w:r>
          </w:p>
        </w:tc>
        <w:tc>
          <w:tcPr>
            <w:tcW w:w="259" w:type="dxa"/>
            <w:vMerge w:val="restart"/>
            <w:tcBorders>
              <w:top w:val="nil"/>
              <w:left w:val="nil"/>
              <w:bottom w:val="nil"/>
              <w:right w:val="nil"/>
            </w:tcBorders>
            <w:vAlign w:val="center"/>
          </w:tcPr>
          <w:p w14:paraId="71A87E62">
            <w:pPr>
              <w:spacing w:after="0"/>
              <w:jc w:val="center"/>
              <w:rPr>
                <w:rFonts w:hint="default" w:ascii="Calibri" w:hAnsi="Calibri" w:cs="Calibri"/>
              </w:rPr>
            </w:pPr>
            <w:r>
              <w:rPr>
                <w:rFonts w:hint="default" w:ascii="Calibri" w:hAnsi="Calibri" w:cs="Calibri"/>
                <w:b/>
                <w:color w:val="2F5597"/>
                <w:sz w:val="24"/>
              </w:rPr>
              <w:t>&gt;</w:t>
            </w:r>
          </w:p>
        </w:tc>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0179BB22">
            <w:pPr>
              <w:spacing w:after="0"/>
              <w:jc w:val="center"/>
              <w:rPr>
                <w:rFonts w:hint="default" w:ascii="Calibri" w:hAnsi="Calibri" w:cs="Calibri"/>
              </w:rPr>
            </w:pPr>
            <w:r>
              <w:rPr>
                <w:rFonts w:hint="default" w:ascii="Calibri" w:hAnsi="Calibri" w:cs="Calibri"/>
                <w:b/>
                <w:color w:val="17365D"/>
                <w:sz w:val="18"/>
              </w:rPr>
              <w:t>Stock exposures</w:t>
            </w:r>
          </w:p>
        </w:tc>
        <w:tc>
          <w:tcPr>
            <w:tcW w:w="259" w:type="dxa"/>
            <w:vMerge w:val="restart"/>
            <w:tcBorders>
              <w:top w:val="nil"/>
              <w:left w:val="nil"/>
              <w:bottom w:val="nil"/>
              <w:right w:val="nil"/>
            </w:tcBorders>
            <w:vAlign w:val="center"/>
          </w:tcPr>
          <w:p w14:paraId="506EDE7D">
            <w:pPr>
              <w:spacing w:after="0"/>
              <w:jc w:val="center"/>
              <w:rPr>
                <w:rFonts w:hint="default" w:ascii="Calibri" w:hAnsi="Calibri" w:cs="Calibri"/>
              </w:rPr>
            </w:pPr>
            <w:r>
              <w:rPr>
                <w:rFonts w:hint="default" w:ascii="Calibri" w:hAnsi="Calibri" w:cs="Calibri"/>
                <w:b/>
                <w:color w:val="2F5597"/>
                <w:sz w:val="24"/>
              </w:rPr>
              <w:t>&gt;</w:t>
            </w:r>
          </w:p>
        </w:tc>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48BBA2D8">
            <w:pPr>
              <w:spacing w:after="0"/>
              <w:jc w:val="center"/>
              <w:rPr>
                <w:rFonts w:hint="default" w:ascii="Calibri" w:hAnsi="Calibri" w:cs="Calibri"/>
              </w:rPr>
            </w:pPr>
            <w:r>
              <w:rPr>
                <w:rFonts w:hint="default" w:ascii="Calibri" w:hAnsi="Calibri" w:cs="Calibri"/>
                <w:b/>
                <w:color w:val="17365D"/>
                <w:sz w:val="18"/>
              </w:rPr>
              <w:t>Stock scores</w:t>
            </w:r>
          </w:p>
        </w:tc>
        <w:tc>
          <w:tcPr>
            <w:tcW w:w="259" w:type="dxa"/>
            <w:vMerge w:val="restart"/>
            <w:tcBorders>
              <w:top w:val="nil"/>
              <w:left w:val="nil"/>
              <w:bottom w:val="nil"/>
              <w:right w:val="nil"/>
            </w:tcBorders>
            <w:vAlign w:val="center"/>
          </w:tcPr>
          <w:p w14:paraId="7FC5FA0A">
            <w:pPr>
              <w:spacing w:after="0"/>
              <w:jc w:val="center"/>
              <w:rPr>
                <w:rFonts w:hint="default" w:ascii="Calibri" w:hAnsi="Calibri" w:cs="Calibri"/>
              </w:rPr>
            </w:pPr>
            <w:r>
              <w:rPr>
                <w:rFonts w:hint="default" w:ascii="Calibri" w:hAnsi="Calibri" w:cs="Calibri"/>
                <w:b/>
                <w:color w:val="2F5597"/>
                <w:sz w:val="24"/>
              </w:rPr>
              <w:t>&gt;</w:t>
            </w:r>
          </w:p>
        </w:tc>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3629D728">
            <w:pPr>
              <w:spacing w:after="0"/>
              <w:jc w:val="center"/>
              <w:rPr>
                <w:rFonts w:hint="default" w:ascii="Calibri" w:hAnsi="Calibri" w:cs="Calibri"/>
              </w:rPr>
            </w:pPr>
            <w:r>
              <w:rPr>
                <w:rFonts w:hint="default" w:ascii="Calibri" w:hAnsi="Calibri" w:cs="Calibri"/>
                <w:b/>
                <w:color w:val="17365D"/>
                <w:sz w:val="18"/>
              </w:rPr>
              <w:t>Portfolio + validation</w:t>
            </w:r>
          </w:p>
        </w:tc>
      </w:tr>
      <w:tr w14:paraId="36E7BD87">
        <w:tblPrEx>
          <w:tblCellMar>
            <w:top w:w="0" w:type="dxa"/>
            <w:left w:w="108" w:type="dxa"/>
            <w:bottom w:w="0" w:type="dxa"/>
            <w:right w:w="108" w:type="dxa"/>
          </w:tblCellMar>
        </w:tblPrEx>
        <w:trPr>
          <w:jc w:val="center"/>
        </w:trPr>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7900EC8F">
            <w:pPr>
              <w:spacing w:after="0"/>
              <w:jc w:val="center"/>
              <w:rPr>
                <w:rFonts w:hint="default" w:ascii="Calibri" w:hAnsi="Calibri" w:cs="Calibri"/>
              </w:rPr>
            </w:pPr>
            <w:r>
              <w:rPr>
                <w:rFonts w:hint="default" w:ascii="Calibri" w:hAnsi="Calibri" w:cs="Calibri"/>
                <w:color w:val="6B7280"/>
                <w:sz w:val="15"/>
              </w:rPr>
              <w:t>Investable, purified return streams</w:t>
            </w:r>
          </w:p>
        </w:tc>
        <w:tc>
          <w:tcPr>
            <w:tcW w:w="259" w:type="dxa"/>
            <w:vMerge w:val="continue"/>
            <w:tcBorders>
              <w:top w:val="nil"/>
              <w:left w:val="nil"/>
              <w:bottom w:val="nil"/>
              <w:right w:val="nil"/>
            </w:tcBorders>
            <w:vAlign w:val="center"/>
          </w:tcPr>
          <w:p w14:paraId="60DFA68A">
            <w:pPr>
              <w:rPr>
                <w:rFonts w:hint="default" w:ascii="Calibri" w:hAnsi="Calibri" w:cs="Calibri"/>
              </w:rPr>
            </w:pPr>
          </w:p>
        </w:tc>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43257203">
            <w:pPr>
              <w:spacing w:after="0"/>
              <w:jc w:val="center"/>
              <w:rPr>
                <w:rFonts w:hint="default" w:ascii="Calibri" w:hAnsi="Calibri" w:cs="Calibri"/>
              </w:rPr>
            </w:pPr>
            <w:r>
              <w:rPr>
                <w:rFonts w:hint="default" w:ascii="Calibri" w:hAnsi="Calibri" w:cs="Calibri"/>
                <w:color w:val="6B7280"/>
                <w:sz w:val="15"/>
              </w:rPr>
              <w:t>Rolling betas + residual risk</w:t>
            </w:r>
          </w:p>
        </w:tc>
        <w:tc>
          <w:tcPr>
            <w:tcW w:w="259" w:type="dxa"/>
            <w:vMerge w:val="continue"/>
            <w:tcBorders>
              <w:top w:val="nil"/>
              <w:left w:val="nil"/>
              <w:bottom w:val="nil"/>
              <w:right w:val="nil"/>
            </w:tcBorders>
            <w:vAlign w:val="center"/>
          </w:tcPr>
          <w:p w14:paraId="44F76934">
            <w:pPr>
              <w:rPr>
                <w:rFonts w:hint="default" w:ascii="Calibri" w:hAnsi="Calibri" w:cs="Calibri"/>
              </w:rPr>
            </w:pPr>
          </w:p>
        </w:tc>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448E9DA0">
            <w:pPr>
              <w:spacing w:after="0"/>
              <w:jc w:val="center"/>
              <w:rPr>
                <w:rFonts w:hint="default" w:ascii="Calibri" w:hAnsi="Calibri" w:cs="Calibri"/>
              </w:rPr>
            </w:pPr>
            <w:r>
              <w:rPr>
                <w:rFonts w:hint="default" w:ascii="Calibri" w:hAnsi="Calibri" w:cs="Calibri"/>
                <w:color w:val="6B7280"/>
                <w:sz w:val="15"/>
              </w:rPr>
              <w:t>Factor view translated cross-sectionally</w:t>
            </w:r>
          </w:p>
        </w:tc>
        <w:tc>
          <w:tcPr>
            <w:tcW w:w="259" w:type="dxa"/>
            <w:vMerge w:val="continue"/>
            <w:tcBorders>
              <w:top w:val="nil"/>
              <w:left w:val="nil"/>
              <w:bottom w:val="nil"/>
              <w:right w:val="nil"/>
            </w:tcBorders>
            <w:vAlign w:val="center"/>
          </w:tcPr>
          <w:p w14:paraId="5E7A86E3">
            <w:pPr>
              <w:rPr>
                <w:rFonts w:hint="default" w:ascii="Calibri" w:hAnsi="Calibri" w:cs="Calibri"/>
              </w:rPr>
            </w:pPr>
          </w:p>
        </w:tc>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28E6E225">
            <w:pPr>
              <w:spacing w:after="0"/>
              <w:jc w:val="center"/>
              <w:rPr>
                <w:rFonts w:hint="default" w:ascii="Calibri" w:hAnsi="Calibri" w:cs="Calibri"/>
              </w:rPr>
            </w:pPr>
            <w:r>
              <w:rPr>
                <w:rFonts w:hint="default" w:ascii="Calibri" w:hAnsi="Calibri" w:cs="Calibri"/>
                <w:color w:val="6B7280"/>
                <w:sz w:val="15"/>
              </w:rPr>
              <w:t>Selection, sizing, costs, backtest</w:t>
            </w:r>
          </w:p>
        </w:tc>
      </w:tr>
    </w:tbl>
    <w:p w14:paraId="31410D14">
      <w:pPr>
        <w:keepLines/>
        <w:spacing w:before="20" w:after="100"/>
        <w:rPr>
          <w:rFonts w:hint="default" w:ascii="Calibri" w:hAnsi="Calibri" w:cs="Calibri"/>
        </w:rPr>
      </w:pPr>
      <w:r>
        <w:rPr>
          <w:rFonts w:hint="default" w:ascii="Calibri" w:hAnsi="Calibri" w:cs="Calibri"/>
          <w:i/>
          <w:color w:val="6B7280"/>
          <w:sz w:val="17"/>
        </w:rPr>
        <w:t>Figure 1. Compact research chain. Each stage is persisted and can be traced to the inputs that produced it.</w:t>
      </w:r>
    </w:p>
    <w:tbl>
      <w:tblPr>
        <w:tblStyle w:val="12"/>
        <w:tblW w:w="0" w:type="auto"/>
        <w:jc w:val="center"/>
        <w:tblLayout w:type="fixed"/>
        <w:tblCellMar>
          <w:top w:w="0" w:type="dxa"/>
          <w:left w:w="108" w:type="dxa"/>
          <w:bottom w:w="0" w:type="dxa"/>
          <w:right w:w="108" w:type="dxa"/>
        </w:tblCellMar>
      </w:tblPr>
      <w:tblGrid>
        <w:gridCol w:w="9792"/>
      </w:tblGrid>
      <w:tr w14:paraId="38CDB7DE">
        <w:tblPrEx>
          <w:tblCellMar>
            <w:top w:w="0" w:type="dxa"/>
            <w:left w:w="108" w:type="dxa"/>
            <w:bottom w:w="0" w:type="dxa"/>
            <w:right w:w="108" w:type="dxa"/>
          </w:tblCellMar>
        </w:tblPrEx>
        <w:trPr>
          <w:jc w:val="center"/>
        </w:trPr>
        <w:tc>
          <w:tcPr>
            <w:tcW w:w="10282" w:type="dxa"/>
            <w:tcBorders>
              <w:top w:val="nil"/>
              <w:left w:val="single" w:color="2F5597" w:sz="18" w:space="0"/>
              <w:bottom w:val="nil"/>
              <w:right w:val="nil"/>
            </w:tcBorders>
            <w:shd w:val="clear" w:color="auto" w:fill="EAF0F8"/>
            <w:tcMar>
              <w:top w:w="95" w:type="dxa"/>
              <w:left w:w="120" w:type="dxa"/>
              <w:bottom w:w="95" w:type="dxa"/>
              <w:right w:w="120" w:type="dxa"/>
            </w:tcMar>
          </w:tcPr>
          <w:p w14:paraId="28FE9D5F">
            <w:pPr>
              <w:spacing w:after="0" w:line="252" w:lineRule="auto"/>
              <w:rPr>
                <w:rFonts w:hint="default" w:ascii="Calibri" w:hAnsi="Calibri" w:cs="Calibri"/>
              </w:rPr>
            </w:pPr>
            <w:r>
              <w:rPr>
                <w:rFonts w:hint="default" w:ascii="Calibri" w:hAnsi="Calibri" w:cs="Calibri"/>
                <w:b/>
                <w:i w:val="0"/>
                <w:color w:val="17365D"/>
              </w:rPr>
              <w:t>The core separation is simple: Stock Selection decides what I want to own. Optimization decides how to own those names more efficiently. The optimizer is not treated as an alpha engine.</w:t>
            </w:r>
          </w:p>
        </w:tc>
      </w:tr>
    </w:tbl>
    <w:p w14:paraId="267EC5FE">
      <w:pPr>
        <w:keepLines/>
        <w:spacing w:after="90" w:line="254" w:lineRule="auto"/>
        <w:rPr>
          <w:rFonts w:hint="default" w:ascii="Calibri" w:hAnsi="Calibri" w:cs="Calibri"/>
        </w:rPr>
      </w:pPr>
      <w:r>
        <w:rPr>
          <w:rFonts w:hint="default" w:ascii="Calibri" w:hAnsi="Calibri" w:cs="Calibri"/>
        </w:rPr>
        <w:t>The POC is strongest as an auditable strategy-development framework, not as a claim of production-ready alpha. The main limitations are current-universe survivorship bias, unofficial price data, proxy quality for several style and thematic factors, and limited out-of-sample history. The research question is whether the factor view and stock ranking add repeatable value after costs, and whether portfolio construction improves the implementation of the same selected names.</w:t>
      </w:r>
    </w:p>
    <w:p w14:paraId="5568F0CF">
      <w:pPr>
        <w:pStyle w:val="2"/>
        <w:keepLines/>
        <w:rPr>
          <w:rFonts w:hint="default" w:ascii="Calibri" w:hAnsi="Calibri" w:cs="Calibri"/>
        </w:rPr>
      </w:pPr>
      <w:r>
        <w:rPr>
          <w:rFonts w:hint="default" w:ascii="Calibri" w:hAnsi="Calibri" w:cs="Calibri"/>
        </w:rPr>
        <w:t>2. Investment thesis and decision ownership</w:t>
      </w:r>
    </w:p>
    <w:tbl>
      <w:tblPr>
        <w:tblStyle w:val="12"/>
        <w:tblW w:w="0" w:type="auto"/>
        <w:jc w:val="center"/>
        <w:tblLayout w:type="fixed"/>
        <w:tblCellMar>
          <w:top w:w="0" w:type="dxa"/>
          <w:left w:w="108" w:type="dxa"/>
          <w:bottom w:w="0" w:type="dxa"/>
          <w:right w:w="108" w:type="dxa"/>
        </w:tblCellMar>
      </w:tblPr>
      <w:tblGrid>
        <w:gridCol w:w="9792"/>
      </w:tblGrid>
      <w:tr w14:paraId="22B80CCE">
        <w:tblPrEx>
          <w:tblCellMar>
            <w:top w:w="0" w:type="dxa"/>
            <w:left w:w="108" w:type="dxa"/>
            <w:bottom w:w="0" w:type="dxa"/>
            <w:right w:w="108" w:type="dxa"/>
          </w:tblCellMar>
        </w:tblPrEx>
        <w:trPr>
          <w:jc w:val="center"/>
        </w:trPr>
        <w:tc>
          <w:tcPr>
            <w:tcW w:w="10282" w:type="dxa"/>
            <w:tcBorders>
              <w:top w:val="nil"/>
              <w:left w:val="single" w:color="2F5597" w:sz="18" w:space="0"/>
              <w:bottom w:val="nil"/>
              <w:right w:val="nil"/>
            </w:tcBorders>
            <w:shd w:val="clear" w:color="auto" w:fill="EAF0F8"/>
            <w:tcMar>
              <w:top w:w="95" w:type="dxa"/>
              <w:left w:w="120" w:type="dxa"/>
              <w:bottom w:w="95" w:type="dxa"/>
              <w:right w:w="120" w:type="dxa"/>
            </w:tcMar>
          </w:tcPr>
          <w:p w14:paraId="3C6724CA">
            <w:pPr>
              <w:spacing w:after="0" w:line="252" w:lineRule="auto"/>
              <w:rPr>
                <w:rFonts w:hint="default" w:ascii="Calibri" w:hAnsi="Calibri" w:cs="Calibri"/>
              </w:rPr>
            </w:pPr>
            <w:r>
              <w:rPr>
                <w:rFonts w:hint="default" w:ascii="Calibri" w:hAnsi="Calibri" w:cs="Calibri"/>
                <w:b/>
                <w:i w:val="0"/>
                <w:color w:val="17365D"/>
              </w:rPr>
              <w:t>Stocks with stronger exposure to factors expected to be rewarded should outperform stocks with weaker or opposite exposure, provided the view is formed before the trade and the portfolio controls unintended market, sector, and idiosyncratic risk.</w:t>
            </w:r>
          </w:p>
        </w:tc>
      </w:tr>
    </w:tbl>
    <w:p w14:paraId="0B8CDB0A">
      <w:pPr>
        <w:keepLines/>
        <w:spacing w:after="90" w:line="254" w:lineRule="auto"/>
        <w:rPr>
          <w:rFonts w:hint="default" w:ascii="Calibri" w:hAnsi="Calibri" w:cs="Calibri"/>
        </w:rPr>
      </w:pPr>
      <w:r>
        <w:rPr>
          <w:rFonts w:hint="default" w:ascii="Calibri" w:hAnsi="Calibri" w:cs="Calibri"/>
        </w:rPr>
        <w:t>The factor direction can change with the economic environment. A constructive growth / AI-capex view and an inflation / energy shock should not produce the same portfolio. QuantLab makes that view explicit instead of burying it inside one composite score.</w:t>
      </w:r>
    </w:p>
    <w:p w14:paraId="4B627096">
      <w:pPr>
        <w:pStyle w:val="3"/>
        <w:keepLines/>
        <w:rPr>
          <w:rFonts w:hint="default" w:ascii="Calibri" w:hAnsi="Calibri" w:cs="Calibri"/>
        </w:rPr>
      </w:pPr>
      <w:r>
        <w:rPr>
          <w:rFonts w:hint="default" w:ascii="Calibri" w:hAnsi="Calibri" w:cs="Calibri"/>
        </w:rPr>
        <w:t>2.1 Setting the factor view</w:t>
      </w:r>
    </w:p>
    <w:p w14:paraId="1A9F02E3">
      <w:pPr>
        <w:keepLines/>
        <w:spacing w:after="90" w:line="254" w:lineRule="auto"/>
        <w:rPr>
          <w:rFonts w:hint="default" w:ascii="Calibri" w:hAnsi="Calibri" w:cs="Calibri"/>
        </w:rPr>
      </w:pPr>
      <w:r>
        <w:rPr>
          <w:rFonts w:hint="default" w:ascii="Calibri" w:hAnsi="Calibri" w:cs="Calibri"/>
        </w:rPr>
        <w:t>Factor direction can come from either a systematic prior based on point-in-time factor-premium evidence or a PM-led macro / thematic view with an explicit confidence level. In the current POC, both routes feed the same stock-scoring and selection process, keeping the case focused on factor construction, stock translation, portfolio sizing, and validation.</w:t>
      </w:r>
    </w:p>
    <w:tbl>
      <w:tblPr>
        <w:tblStyle w:val="12"/>
        <w:tblW w:w="0" w:type="auto"/>
        <w:jc w:val="center"/>
        <w:tblLayout w:type="fixed"/>
        <w:tblCellMar>
          <w:top w:w="0" w:type="dxa"/>
          <w:left w:w="108" w:type="dxa"/>
          <w:bottom w:w="0" w:type="dxa"/>
          <w:right w:w="108" w:type="dxa"/>
        </w:tblCellMar>
      </w:tblPr>
      <w:tblGrid>
        <w:gridCol w:w="3427"/>
        <w:gridCol w:w="3427"/>
        <w:gridCol w:w="3427"/>
      </w:tblGrid>
      <w:tr w14:paraId="4AAEFEAA">
        <w:tblPrEx>
          <w:tblCellMar>
            <w:top w:w="0" w:type="dxa"/>
            <w:left w:w="108" w:type="dxa"/>
            <w:bottom w:w="0" w:type="dxa"/>
            <w:right w:w="108" w:type="dxa"/>
          </w:tblCellMar>
        </w:tblPrEx>
        <w:trPr>
          <w:cantSplit/>
          <w:tblHeader/>
          <w:jc w:val="center"/>
        </w:trPr>
        <w:tc>
          <w:tcPr>
            <w:tcW w:w="2088"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4F9FF0EB">
            <w:pPr>
              <w:spacing w:before="0" w:after="0" w:line="240" w:lineRule="auto"/>
              <w:rPr>
                <w:rFonts w:hint="default" w:ascii="Calibri" w:hAnsi="Calibri" w:cs="Calibri"/>
              </w:rPr>
            </w:pPr>
            <w:r>
              <w:rPr>
                <w:rFonts w:hint="default" w:ascii="Calibri" w:hAnsi="Calibri" w:cs="Calibri"/>
                <w:b/>
                <w:color w:val="FFFFFF"/>
                <w:sz w:val="17"/>
              </w:rPr>
              <w:t>Decision</w:t>
            </w:r>
          </w:p>
        </w:tc>
        <w:tc>
          <w:tcPr>
            <w:tcW w:w="2520"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3F002E31">
            <w:pPr>
              <w:spacing w:before="0" w:after="0" w:line="240" w:lineRule="auto"/>
              <w:rPr>
                <w:rFonts w:hint="default" w:ascii="Calibri" w:hAnsi="Calibri" w:cs="Calibri"/>
              </w:rPr>
            </w:pPr>
            <w:r>
              <w:rPr>
                <w:rFonts w:hint="default" w:ascii="Calibri" w:hAnsi="Calibri" w:cs="Calibri"/>
                <w:b/>
                <w:color w:val="FFFFFF"/>
                <w:sz w:val="17"/>
              </w:rPr>
              <w:t>Current treatment</w:t>
            </w:r>
          </w:p>
        </w:tc>
        <w:tc>
          <w:tcPr>
            <w:tcW w:w="5112"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5B1BDA63">
            <w:pPr>
              <w:spacing w:before="0" w:after="0" w:line="240" w:lineRule="auto"/>
              <w:rPr>
                <w:rFonts w:hint="default" w:ascii="Calibri" w:hAnsi="Calibri" w:cs="Calibri"/>
              </w:rPr>
            </w:pPr>
            <w:r>
              <w:rPr>
                <w:rFonts w:hint="default" w:ascii="Calibri" w:hAnsi="Calibri" w:cs="Calibri"/>
                <w:b/>
                <w:color w:val="FFFFFF"/>
                <w:sz w:val="17"/>
              </w:rPr>
              <w:t>Role in the process</w:t>
            </w:r>
          </w:p>
        </w:tc>
      </w:tr>
      <w:tr w14:paraId="297D8733">
        <w:tblPrEx>
          <w:tblCellMar>
            <w:top w:w="0" w:type="dxa"/>
            <w:left w:w="108" w:type="dxa"/>
            <w:bottom w:w="0" w:type="dxa"/>
            <w:right w:w="108" w:type="dxa"/>
          </w:tblCellMar>
        </w:tblPrEx>
        <w:trPr>
          <w:cantSplit/>
          <w:jc w:val="center"/>
        </w:trPr>
        <w:tc>
          <w:tcPr>
            <w:tcW w:w="2088"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26C23B06">
            <w:pPr>
              <w:spacing w:before="0" w:after="0" w:line="240" w:lineRule="auto"/>
              <w:rPr>
                <w:rFonts w:hint="default" w:ascii="Calibri" w:hAnsi="Calibri" w:cs="Calibri"/>
              </w:rPr>
            </w:pPr>
            <w:r>
              <w:rPr>
                <w:rFonts w:hint="default" w:ascii="Calibri" w:hAnsi="Calibri" w:cs="Calibri"/>
                <w:color w:val="1F2937"/>
                <w:sz w:val="17"/>
              </w:rPr>
              <w:t>Factor definitions</w:t>
            </w:r>
          </w:p>
        </w:tc>
        <w:tc>
          <w:tcPr>
            <w:tcW w:w="2520"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18C9FBF8">
            <w:pPr>
              <w:spacing w:before="0" w:after="0" w:line="240" w:lineRule="auto"/>
              <w:rPr>
                <w:rFonts w:hint="default" w:ascii="Calibri" w:hAnsi="Calibri" w:cs="Calibri"/>
              </w:rPr>
            </w:pPr>
            <w:r>
              <w:rPr>
                <w:rFonts w:hint="default" w:ascii="Calibri" w:hAnsi="Calibri" w:cs="Calibri"/>
                <w:color w:val="1F2937"/>
                <w:sz w:val="17"/>
              </w:rPr>
              <w:t>Systematic + versioned</w:t>
            </w:r>
          </w:p>
        </w:tc>
        <w:tc>
          <w:tcPr>
            <w:tcW w:w="511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6715162C">
            <w:pPr>
              <w:spacing w:before="0" w:after="0" w:line="240" w:lineRule="auto"/>
              <w:rPr>
                <w:rFonts w:hint="default" w:ascii="Calibri" w:hAnsi="Calibri" w:cs="Calibri"/>
              </w:rPr>
            </w:pPr>
            <w:r>
              <w:rPr>
                <w:rFonts w:hint="default" w:ascii="Calibri" w:hAnsi="Calibri" w:cs="Calibri"/>
                <w:color w:val="1F2937"/>
                <w:sz w:val="17"/>
              </w:rPr>
              <w:t>Observable ETF spreads and fixed baskets</w:t>
            </w:r>
          </w:p>
        </w:tc>
      </w:tr>
      <w:tr w14:paraId="5A46073D">
        <w:tblPrEx>
          <w:tblCellMar>
            <w:top w:w="0" w:type="dxa"/>
            <w:left w:w="108" w:type="dxa"/>
            <w:bottom w:w="0" w:type="dxa"/>
            <w:right w:w="108" w:type="dxa"/>
          </w:tblCellMar>
        </w:tblPrEx>
        <w:trPr>
          <w:cantSplit/>
          <w:jc w:val="center"/>
        </w:trPr>
        <w:tc>
          <w:tcPr>
            <w:tcW w:w="2088"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661EAAF2">
            <w:pPr>
              <w:spacing w:before="0" w:after="0" w:line="240" w:lineRule="auto"/>
              <w:rPr>
                <w:rFonts w:hint="default" w:ascii="Calibri" w:hAnsi="Calibri" w:cs="Calibri"/>
              </w:rPr>
            </w:pPr>
            <w:r>
              <w:rPr>
                <w:rFonts w:hint="default" w:ascii="Calibri" w:hAnsi="Calibri" w:cs="Calibri"/>
                <w:color w:val="1F2937"/>
                <w:sz w:val="17"/>
              </w:rPr>
              <w:t>Stock exposures</w:t>
            </w:r>
          </w:p>
        </w:tc>
        <w:tc>
          <w:tcPr>
            <w:tcW w:w="2520"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64920705">
            <w:pPr>
              <w:spacing w:before="0" w:after="0" w:line="240" w:lineRule="auto"/>
              <w:rPr>
                <w:rFonts w:hint="default" w:ascii="Calibri" w:hAnsi="Calibri" w:cs="Calibri"/>
              </w:rPr>
            </w:pPr>
            <w:r>
              <w:rPr>
                <w:rFonts w:hint="default" w:ascii="Calibri" w:hAnsi="Calibri" w:cs="Calibri"/>
                <w:color w:val="1F2937"/>
                <w:sz w:val="17"/>
              </w:rPr>
              <w:t>Systematic</w:t>
            </w:r>
          </w:p>
        </w:tc>
        <w:tc>
          <w:tcPr>
            <w:tcW w:w="511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48949C2F">
            <w:pPr>
              <w:spacing w:before="0" w:after="0" w:line="240" w:lineRule="auto"/>
              <w:rPr>
                <w:rFonts w:hint="default" w:ascii="Calibri" w:hAnsi="Calibri" w:cs="Calibri"/>
              </w:rPr>
            </w:pPr>
            <w:r>
              <w:rPr>
                <w:rFonts w:hint="default" w:ascii="Calibri" w:hAnsi="Calibri" w:cs="Calibri"/>
                <w:color w:val="1F2937"/>
                <w:sz w:val="17"/>
              </w:rPr>
              <w:t>Rolling regressions; ElasticNet selection + OLS/HAC refit</w:t>
            </w:r>
          </w:p>
        </w:tc>
      </w:tr>
      <w:tr w14:paraId="1E0189A2">
        <w:tblPrEx>
          <w:tblCellMar>
            <w:top w:w="0" w:type="dxa"/>
            <w:left w:w="108" w:type="dxa"/>
            <w:bottom w:w="0" w:type="dxa"/>
            <w:right w:w="108" w:type="dxa"/>
          </w:tblCellMar>
        </w:tblPrEx>
        <w:trPr>
          <w:cantSplit/>
          <w:jc w:val="center"/>
        </w:trPr>
        <w:tc>
          <w:tcPr>
            <w:tcW w:w="2088"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336884F9">
            <w:pPr>
              <w:spacing w:before="0" w:after="0" w:line="240" w:lineRule="auto"/>
              <w:rPr>
                <w:rFonts w:hint="default" w:ascii="Calibri" w:hAnsi="Calibri" w:cs="Calibri"/>
              </w:rPr>
            </w:pPr>
            <w:r>
              <w:rPr>
                <w:rFonts w:hint="default" w:ascii="Calibri" w:hAnsi="Calibri" w:cs="Calibri"/>
                <w:color w:val="1F2937"/>
                <w:sz w:val="17"/>
              </w:rPr>
              <w:t>Factor direction</w:t>
            </w:r>
          </w:p>
        </w:tc>
        <w:tc>
          <w:tcPr>
            <w:tcW w:w="2520"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13C25637">
            <w:pPr>
              <w:spacing w:before="0" w:after="0" w:line="240" w:lineRule="auto"/>
              <w:rPr>
                <w:rFonts w:hint="default" w:ascii="Calibri" w:hAnsi="Calibri" w:cs="Calibri"/>
              </w:rPr>
            </w:pPr>
            <w:r>
              <w:rPr>
                <w:rFonts w:hint="default" w:ascii="Calibri" w:hAnsi="Calibri" w:cs="Calibri"/>
                <w:color w:val="1F2937"/>
                <w:sz w:val="17"/>
              </w:rPr>
              <w:t>Systematic prior or PM input</w:t>
            </w:r>
          </w:p>
        </w:tc>
        <w:tc>
          <w:tcPr>
            <w:tcW w:w="511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316C9C33">
            <w:pPr>
              <w:spacing w:before="0" w:after="0" w:line="240" w:lineRule="auto"/>
              <w:rPr>
                <w:rFonts w:hint="default" w:ascii="Calibri" w:hAnsi="Calibri" w:cs="Calibri"/>
              </w:rPr>
            </w:pPr>
            <w:r>
              <w:rPr>
                <w:rFonts w:hint="default" w:ascii="Calibri" w:hAnsi="Calibri" w:cs="Calibri"/>
                <w:color w:val="1F2937"/>
                <w:sz w:val="17"/>
              </w:rPr>
              <w:t>Must be set before performance is observed</w:t>
            </w:r>
          </w:p>
        </w:tc>
      </w:tr>
      <w:tr w14:paraId="54DDA983">
        <w:tblPrEx>
          <w:tblCellMar>
            <w:top w:w="0" w:type="dxa"/>
            <w:left w:w="108" w:type="dxa"/>
            <w:bottom w:w="0" w:type="dxa"/>
            <w:right w:w="108" w:type="dxa"/>
          </w:tblCellMar>
        </w:tblPrEx>
        <w:trPr>
          <w:cantSplit/>
          <w:jc w:val="center"/>
        </w:trPr>
        <w:tc>
          <w:tcPr>
            <w:tcW w:w="2088"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21040A53">
            <w:pPr>
              <w:spacing w:before="0" w:after="0" w:line="240" w:lineRule="auto"/>
              <w:rPr>
                <w:rFonts w:hint="default" w:ascii="Calibri" w:hAnsi="Calibri" w:cs="Calibri"/>
              </w:rPr>
            </w:pPr>
            <w:r>
              <w:rPr>
                <w:rFonts w:hint="default" w:ascii="Calibri" w:hAnsi="Calibri" w:cs="Calibri"/>
                <w:color w:val="1F2937"/>
                <w:sz w:val="17"/>
              </w:rPr>
              <w:t>Factor importance</w:t>
            </w:r>
          </w:p>
        </w:tc>
        <w:tc>
          <w:tcPr>
            <w:tcW w:w="2520"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5B484467">
            <w:pPr>
              <w:spacing w:before="0" w:after="0" w:line="240" w:lineRule="auto"/>
              <w:rPr>
                <w:rFonts w:hint="default" w:ascii="Calibri" w:hAnsi="Calibri" w:cs="Calibri"/>
              </w:rPr>
            </w:pPr>
            <w:r>
              <w:rPr>
                <w:rFonts w:hint="default" w:ascii="Calibri" w:hAnsi="Calibri" w:cs="Calibri"/>
                <w:color w:val="1F2937"/>
                <w:sz w:val="17"/>
              </w:rPr>
              <w:t>User-set or model-estimated</w:t>
            </w:r>
          </w:p>
        </w:tc>
        <w:tc>
          <w:tcPr>
            <w:tcW w:w="511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17213379">
            <w:pPr>
              <w:spacing w:before="0" w:after="0" w:line="240" w:lineRule="auto"/>
              <w:rPr>
                <w:rFonts w:hint="default" w:ascii="Calibri" w:hAnsi="Calibri" w:cs="Calibri"/>
              </w:rPr>
            </w:pPr>
            <w:r>
              <w:rPr>
                <w:rFonts w:hint="default" w:ascii="Calibri" w:hAnsi="Calibri" w:cs="Calibri"/>
                <w:color w:val="1F2937"/>
                <w:sz w:val="17"/>
              </w:rPr>
              <w:t>Conviction; not a backtest-tuned parameter</w:t>
            </w:r>
          </w:p>
        </w:tc>
      </w:tr>
      <w:tr w14:paraId="644D3784">
        <w:tblPrEx>
          <w:tblCellMar>
            <w:top w:w="0" w:type="dxa"/>
            <w:left w:w="108" w:type="dxa"/>
            <w:bottom w:w="0" w:type="dxa"/>
            <w:right w:w="108" w:type="dxa"/>
          </w:tblCellMar>
        </w:tblPrEx>
        <w:trPr>
          <w:cantSplit/>
          <w:jc w:val="center"/>
        </w:trPr>
        <w:tc>
          <w:tcPr>
            <w:tcW w:w="2088"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75FEFAB3">
            <w:pPr>
              <w:spacing w:before="0" w:after="0" w:line="240" w:lineRule="auto"/>
              <w:rPr>
                <w:rFonts w:hint="default" w:ascii="Calibri" w:hAnsi="Calibri" w:cs="Calibri"/>
              </w:rPr>
            </w:pPr>
            <w:r>
              <w:rPr>
                <w:rFonts w:hint="default" w:ascii="Calibri" w:hAnsi="Calibri" w:cs="Calibri"/>
                <w:color w:val="1F2937"/>
                <w:sz w:val="17"/>
              </w:rPr>
              <w:t>Stock ranking + eligibility</w:t>
            </w:r>
          </w:p>
        </w:tc>
        <w:tc>
          <w:tcPr>
            <w:tcW w:w="2520"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25CD1BB7">
            <w:pPr>
              <w:spacing w:before="0" w:after="0" w:line="240" w:lineRule="auto"/>
              <w:rPr>
                <w:rFonts w:hint="default" w:ascii="Calibri" w:hAnsi="Calibri" w:cs="Calibri"/>
              </w:rPr>
            </w:pPr>
            <w:r>
              <w:rPr>
                <w:rFonts w:hint="default" w:ascii="Calibri" w:hAnsi="Calibri" w:cs="Calibri"/>
                <w:color w:val="1F2937"/>
                <w:sz w:val="17"/>
              </w:rPr>
              <w:t>Systematic</w:t>
            </w:r>
          </w:p>
        </w:tc>
        <w:tc>
          <w:tcPr>
            <w:tcW w:w="511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69546970">
            <w:pPr>
              <w:spacing w:before="0" w:after="0" w:line="240" w:lineRule="auto"/>
              <w:rPr>
                <w:rFonts w:hint="default" w:ascii="Calibri" w:hAnsi="Calibri" w:cs="Calibri"/>
              </w:rPr>
            </w:pPr>
            <w:r>
              <w:rPr>
                <w:rFonts w:hint="default" w:ascii="Calibri" w:hAnsi="Calibri" w:cs="Calibri"/>
                <w:color w:val="1F2937"/>
                <w:sz w:val="17"/>
              </w:rPr>
              <w:t>Weighted z-scores, coverage, fit, sector and exclusion rules</w:t>
            </w:r>
          </w:p>
        </w:tc>
      </w:tr>
      <w:tr w14:paraId="746BDE8F">
        <w:tblPrEx>
          <w:tblCellMar>
            <w:top w:w="0" w:type="dxa"/>
            <w:left w:w="108" w:type="dxa"/>
            <w:bottom w:w="0" w:type="dxa"/>
            <w:right w:w="108" w:type="dxa"/>
          </w:tblCellMar>
        </w:tblPrEx>
        <w:trPr>
          <w:cantSplit/>
          <w:jc w:val="center"/>
        </w:trPr>
        <w:tc>
          <w:tcPr>
            <w:tcW w:w="2088"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5C9AD421">
            <w:pPr>
              <w:spacing w:before="0" w:after="0" w:line="240" w:lineRule="auto"/>
              <w:rPr>
                <w:rFonts w:hint="default" w:ascii="Calibri" w:hAnsi="Calibri" w:cs="Calibri"/>
              </w:rPr>
            </w:pPr>
            <w:r>
              <w:rPr>
                <w:rFonts w:hint="default" w:ascii="Calibri" w:hAnsi="Calibri" w:cs="Calibri"/>
                <w:color w:val="1F2937"/>
                <w:sz w:val="17"/>
              </w:rPr>
              <w:t>Name selection</w:t>
            </w:r>
          </w:p>
        </w:tc>
        <w:tc>
          <w:tcPr>
            <w:tcW w:w="2520"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16344B37">
            <w:pPr>
              <w:spacing w:before="0" w:after="0" w:line="240" w:lineRule="auto"/>
              <w:rPr>
                <w:rFonts w:hint="default" w:ascii="Calibri" w:hAnsi="Calibri" w:cs="Calibri"/>
              </w:rPr>
            </w:pPr>
            <w:r>
              <w:rPr>
                <w:rFonts w:hint="default" w:ascii="Calibri" w:hAnsi="Calibri" w:cs="Calibri"/>
                <w:color w:val="1F2937"/>
                <w:sz w:val="17"/>
              </w:rPr>
              <w:t>Systematic</w:t>
            </w:r>
          </w:p>
        </w:tc>
        <w:tc>
          <w:tcPr>
            <w:tcW w:w="511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4ED8A9B8">
            <w:pPr>
              <w:spacing w:before="0" w:after="0" w:line="240" w:lineRule="auto"/>
              <w:rPr>
                <w:rFonts w:hint="default" w:ascii="Calibri" w:hAnsi="Calibri" w:cs="Calibri"/>
              </w:rPr>
            </w:pPr>
            <w:r>
              <w:rPr>
                <w:rFonts w:hint="default" w:ascii="Calibri" w:hAnsi="Calibri" w:cs="Calibri"/>
                <w:color w:val="1F2937"/>
                <w:sz w:val="17"/>
              </w:rPr>
              <w:t>Top N; equal weight is the clean selection baseline</w:t>
            </w:r>
          </w:p>
        </w:tc>
      </w:tr>
      <w:tr w14:paraId="251AF505">
        <w:tblPrEx>
          <w:tblCellMar>
            <w:top w:w="0" w:type="dxa"/>
            <w:left w:w="108" w:type="dxa"/>
            <w:bottom w:w="0" w:type="dxa"/>
            <w:right w:w="108" w:type="dxa"/>
          </w:tblCellMar>
        </w:tblPrEx>
        <w:trPr>
          <w:cantSplit/>
          <w:jc w:val="center"/>
        </w:trPr>
        <w:tc>
          <w:tcPr>
            <w:tcW w:w="2088"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6CFC476F">
            <w:pPr>
              <w:spacing w:before="0" w:after="0" w:line="240" w:lineRule="auto"/>
              <w:rPr>
                <w:rFonts w:hint="default" w:ascii="Calibri" w:hAnsi="Calibri" w:cs="Calibri"/>
              </w:rPr>
            </w:pPr>
            <w:r>
              <w:rPr>
                <w:rFonts w:hint="default" w:ascii="Calibri" w:hAnsi="Calibri" w:cs="Calibri"/>
                <w:color w:val="1F2937"/>
                <w:sz w:val="17"/>
              </w:rPr>
              <w:t>Final weights</w:t>
            </w:r>
          </w:p>
        </w:tc>
        <w:tc>
          <w:tcPr>
            <w:tcW w:w="2520"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261378F6">
            <w:pPr>
              <w:spacing w:before="0" w:after="0" w:line="240" w:lineRule="auto"/>
              <w:rPr>
                <w:rFonts w:hint="default" w:ascii="Calibri" w:hAnsi="Calibri" w:cs="Calibri"/>
              </w:rPr>
            </w:pPr>
            <w:r>
              <w:rPr>
                <w:rFonts w:hint="default" w:ascii="Calibri" w:hAnsi="Calibri" w:cs="Calibri"/>
                <w:color w:val="1F2937"/>
                <w:sz w:val="17"/>
              </w:rPr>
              <w:t>Systematic</w:t>
            </w:r>
          </w:p>
        </w:tc>
        <w:tc>
          <w:tcPr>
            <w:tcW w:w="511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5B5A8977">
            <w:pPr>
              <w:spacing w:before="0" w:after="0" w:line="240" w:lineRule="auto"/>
              <w:rPr>
                <w:rFonts w:hint="default" w:ascii="Calibri" w:hAnsi="Calibri" w:cs="Calibri"/>
              </w:rPr>
            </w:pPr>
            <w:r>
              <w:rPr>
                <w:rFonts w:hint="default" w:ascii="Calibri" w:hAnsi="Calibri" w:cs="Calibri"/>
                <w:color w:val="1F2937"/>
                <w:sz w:val="17"/>
              </w:rPr>
              <w:t>Constrained optimization using expected return and factor risk</w:t>
            </w:r>
          </w:p>
        </w:tc>
      </w:tr>
      <w:tr w14:paraId="5FFDFBD0">
        <w:tblPrEx>
          <w:tblCellMar>
            <w:top w:w="0" w:type="dxa"/>
            <w:left w:w="108" w:type="dxa"/>
            <w:bottom w:w="0" w:type="dxa"/>
            <w:right w:w="108" w:type="dxa"/>
          </w:tblCellMar>
        </w:tblPrEx>
        <w:trPr>
          <w:cantSplit/>
          <w:jc w:val="center"/>
        </w:trPr>
        <w:tc>
          <w:tcPr>
            <w:tcW w:w="2088"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70413743">
            <w:pPr>
              <w:spacing w:before="0" w:after="0" w:line="240" w:lineRule="auto"/>
              <w:rPr>
                <w:rFonts w:hint="default" w:ascii="Calibri" w:hAnsi="Calibri" w:cs="Calibri"/>
              </w:rPr>
            </w:pPr>
            <w:r>
              <w:rPr>
                <w:rFonts w:hint="default" w:ascii="Calibri" w:hAnsi="Calibri" w:cs="Calibri"/>
                <w:color w:val="1F2937"/>
                <w:sz w:val="17"/>
              </w:rPr>
              <w:t>Execution</w:t>
            </w:r>
          </w:p>
        </w:tc>
        <w:tc>
          <w:tcPr>
            <w:tcW w:w="2520"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03F60B69">
            <w:pPr>
              <w:spacing w:before="0" w:after="0" w:line="240" w:lineRule="auto"/>
              <w:rPr>
                <w:rFonts w:hint="default" w:ascii="Calibri" w:hAnsi="Calibri" w:cs="Calibri"/>
              </w:rPr>
            </w:pPr>
            <w:r>
              <w:rPr>
                <w:rFonts w:hint="default" w:ascii="Calibri" w:hAnsi="Calibri" w:cs="Calibri"/>
                <w:color w:val="1F2937"/>
                <w:sz w:val="17"/>
              </w:rPr>
              <w:t>Systematic</w:t>
            </w:r>
          </w:p>
        </w:tc>
        <w:tc>
          <w:tcPr>
            <w:tcW w:w="511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75CC069F">
            <w:pPr>
              <w:spacing w:before="0" w:after="0" w:line="240" w:lineRule="auto"/>
              <w:rPr>
                <w:rFonts w:hint="default" w:ascii="Calibri" w:hAnsi="Calibri" w:cs="Calibri"/>
              </w:rPr>
            </w:pPr>
            <w:r>
              <w:rPr>
                <w:rFonts w:hint="default" w:ascii="Calibri" w:hAnsi="Calibri" w:cs="Calibri"/>
                <w:color w:val="1F2937"/>
                <w:sz w:val="17"/>
              </w:rPr>
              <w:t>Signal at month-end; trade on the next trading day</w:t>
            </w:r>
          </w:p>
        </w:tc>
      </w:tr>
    </w:tbl>
    <w:p w14:paraId="2BF481EB">
      <w:pPr>
        <w:pStyle w:val="3"/>
        <w:keepLines/>
        <w:rPr>
          <w:rFonts w:hint="default" w:ascii="Calibri" w:hAnsi="Calibri" w:cs="Calibri"/>
        </w:rPr>
      </w:pPr>
      <w:r>
        <w:rPr>
          <w:rFonts w:hint="default" w:ascii="Calibri" w:hAnsi="Calibri" w:cs="Calibri"/>
        </w:rPr>
        <w:t>2.2 Example: constructive growth and AI-capex view</w:t>
      </w:r>
    </w:p>
    <w:tbl>
      <w:tblPr>
        <w:tblStyle w:val="12"/>
        <w:tblW w:w="0" w:type="auto"/>
        <w:jc w:val="center"/>
        <w:tblLayout w:type="fixed"/>
        <w:tblCellMar>
          <w:top w:w="0" w:type="dxa"/>
          <w:left w:w="108" w:type="dxa"/>
          <w:bottom w:w="0" w:type="dxa"/>
          <w:right w:w="108" w:type="dxa"/>
        </w:tblCellMar>
      </w:tblPr>
      <w:tblGrid>
        <w:gridCol w:w="3427"/>
        <w:gridCol w:w="3427"/>
        <w:gridCol w:w="3427"/>
      </w:tblGrid>
      <w:tr w14:paraId="76EC75B0">
        <w:tblPrEx>
          <w:tblCellMar>
            <w:top w:w="0" w:type="dxa"/>
            <w:left w:w="108" w:type="dxa"/>
            <w:bottom w:w="0" w:type="dxa"/>
            <w:right w:w="108" w:type="dxa"/>
          </w:tblCellMar>
        </w:tblPrEx>
        <w:trPr>
          <w:cantSplit/>
          <w:tblHeader/>
          <w:jc w:val="center"/>
        </w:trPr>
        <w:tc>
          <w:tcPr>
            <w:tcW w:w="2304"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25EC4886">
            <w:pPr>
              <w:spacing w:before="0" w:after="0" w:line="240" w:lineRule="auto"/>
              <w:rPr>
                <w:rFonts w:hint="default" w:ascii="Calibri" w:hAnsi="Calibri" w:cs="Calibri"/>
              </w:rPr>
            </w:pPr>
            <w:r>
              <w:rPr>
                <w:rFonts w:hint="default" w:ascii="Calibri" w:hAnsi="Calibri" w:cs="Calibri"/>
                <w:b/>
                <w:color w:val="FFFFFF"/>
                <w:sz w:val="17"/>
              </w:rPr>
              <w:t>Factor</w:t>
            </w:r>
          </w:p>
        </w:tc>
        <w:tc>
          <w:tcPr>
            <w:tcW w:w="2232"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40454653">
            <w:pPr>
              <w:spacing w:before="0" w:after="0" w:line="240" w:lineRule="auto"/>
              <w:rPr>
                <w:rFonts w:hint="default" w:ascii="Calibri" w:hAnsi="Calibri" w:cs="Calibri"/>
              </w:rPr>
            </w:pPr>
            <w:r>
              <w:rPr>
                <w:rFonts w:hint="default" w:ascii="Calibri" w:hAnsi="Calibri" w:cs="Calibri"/>
                <w:b/>
                <w:color w:val="FFFFFF"/>
                <w:sz w:val="17"/>
              </w:rPr>
              <w:t>Direction</w:t>
            </w:r>
          </w:p>
        </w:tc>
        <w:tc>
          <w:tcPr>
            <w:tcW w:w="5184"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6AF3B13C">
            <w:pPr>
              <w:spacing w:before="0" w:after="0" w:line="240" w:lineRule="auto"/>
              <w:rPr>
                <w:rFonts w:hint="default" w:ascii="Calibri" w:hAnsi="Calibri" w:cs="Calibri"/>
              </w:rPr>
            </w:pPr>
            <w:r>
              <w:rPr>
                <w:rFonts w:hint="default" w:ascii="Calibri" w:hAnsi="Calibri" w:cs="Calibri"/>
                <w:b/>
                <w:color w:val="FFFFFF"/>
                <w:sz w:val="17"/>
              </w:rPr>
              <w:t>Reason</w:t>
            </w:r>
          </w:p>
        </w:tc>
      </w:tr>
      <w:tr w14:paraId="4762ABD3">
        <w:tblPrEx>
          <w:tblCellMar>
            <w:top w:w="0" w:type="dxa"/>
            <w:left w:w="108" w:type="dxa"/>
            <w:bottom w:w="0" w:type="dxa"/>
            <w:right w:w="108" w:type="dxa"/>
          </w:tblCellMar>
        </w:tblPrEx>
        <w:trPr>
          <w:cantSplit/>
          <w:jc w:val="center"/>
        </w:trPr>
        <w:tc>
          <w:tcPr>
            <w:tcW w:w="2304"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07161880">
            <w:pPr>
              <w:spacing w:before="0" w:after="0" w:line="240" w:lineRule="auto"/>
              <w:rPr>
                <w:rFonts w:hint="default" w:ascii="Calibri" w:hAnsi="Calibri" w:cs="Calibri"/>
              </w:rPr>
            </w:pPr>
            <w:r>
              <w:rPr>
                <w:rFonts w:hint="default" w:ascii="Calibri" w:hAnsi="Calibri" w:cs="Calibri"/>
                <w:color w:val="1F2937"/>
                <w:sz w:val="17"/>
              </w:rPr>
              <w:t>Growth</w:t>
            </w:r>
          </w:p>
        </w:tc>
        <w:tc>
          <w:tcPr>
            <w:tcW w:w="223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3470F7A7">
            <w:pPr>
              <w:spacing w:before="0" w:after="0" w:line="240" w:lineRule="auto"/>
              <w:rPr>
                <w:rFonts w:hint="default" w:ascii="Calibri" w:hAnsi="Calibri" w:cs="Calibri"/>
              </w:rPr>
            </w:pPr>
            <w:r>
              <w:rPr>
                <w:rFonts w:hint="default" w:ascii="Calibri" w:hAnsi="Calibri" w:cs="Calibri"/>
                <w:color w:val="1F2937"/>
                <w:sz w:val="17"/>
              </w:rPr>
              <w:t>Positive</w:t>
            </w:r>
          </w:p>
        </w:tc>
        <w:tc>
          <w:tcPr>
            <w:tcW w:w="5184"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58C6AE21">
            <w:pPr>
              <w:spacing w:before="0" w:after="0" w:line="240" w:lineRule="auto"/>
              <w:rPr>
                <w:rFonts w:hint="default" w:ascii="Calibri" w:hAnsi="Calibri" w:cs="Calibri"/>
              </w:rPr>
            </w:pPr>
            <w:r>
              <w:rPr>
                <w:rFonts w:hint="default" w:ascii="Calibri" w:hAnsi="Calibri" w:cs="Calibri"/>
                <w:color w:val="1F2937"/>
                <w:sz w:val="17"/>
              </w:rPr>
              <w:t>Express long-duration growth sensitivity</w:t>
            </w:r>
          </w:p>
        </w:tc>
      </w:tr>
      <w:tr w14:paraId="0084159E">
        <w:tblPrEx>
          <w:tblCellMar>
            <w:top w:w="0" w:type="dxa"/>
            <w:left w:w="108" w:type="dxa"/>
            <w:bottom w:w="0" w:type="dxa"/>
            <w:right w:w="108" w:type="dxa"/>
          </w:tblCellMar>
        </w:tblPrEx>
        <w:trPr>
          <w:cantSplit/>
          <w:jc w:val="center"/>
        </w:trPr>
        <w:tc>
          <w:tcPr>
            <w:tcW w:w="2304"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4CF70D1F">
            <w:pPr>
              <w:spacing w:before="0" w:after="0" w:line="240" w:lineRule="auto"/>
              <w:rPr>
                <w:rFonts w:hint="default" w:ascii="Calibri" w:hAnsi="Calibri" w:cs="Calibri"/>
              </w:rPr>
            </w:pPr>
            <w:r>
              <w:rPr>
                <w:rFonts w:hint="default" w:ascii="Calibri" w:hAnsi="Calibri" w:cs="Calibri"/>
                <w:color w:val="1F2937"/>
                <w:sz w:val="17"/>
              </w:rPr>
              <w:t>Quality</w:t>
            </w:r>
          </w:p>
        </w:tc>
        <w:tc>
          <w:tcPr>
            <w:tcW w:w="223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14B9C14D">
            <w:pPr>
              <w:spacing w:before="0" w:after="0" w:line="240" w:lineRule="auto"/>
              <w:rPr>
                <w:rFonts w:hint="default" w:ascii="Calibri" w:hAnsi="Calibri" w:cs="Calibri"/>
              </w:rPr>
            </w:pPr>
            <w:r>
              <w:rPr>
                <w:rFonts w:hint="default" w:ascii="Calibri" w:hAnsi="Calibri" w:cs="Calibri"/>
                <w:color w:val="1F2937"/>
                <w:sz w:val="17"/>
              </w:rPr>
              <w:t>Positive</w:t>
            </w:r>
          </w:p>
        </w:tc>
        <w:tc>
          <w:tcPr>
            <w:tcW w:w="5184"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32972F96">
            <w:pPr>
              <w:spacing w:before="0" w:after="0" w:line="240" w:lineRule="auto"/>
              <w:rPr>
                <w:rFonts w:hint="default" w:ascii="Calibri" w:hAnsi="Calibri" w:cs="Calibri"/>
              </w:rPr>
            </w:pPr>
            <w:r>
              <w:rPr>
                <w:rFonts w:hint="default" w:ascii="Calibri" w:hAnsi="Calibri" w:cs="Calibri"/>
                <w:color w:val="1F2937"/>
                <w:sz w:val="17"/>
              </w:rPr>
              <w:t>Avoid expressing the view only through weak-balance-sheet names</w:t>
            </w:r>
          </w:p>
        </w:tc>
      </w:tr>
      <w:tr w14:paraId="333EE858">
        <w:tblPrEx>
          <w:tblCellMar>
            <w:top w:w="0" w:type="dxa"/>
            <w:left w:w="108" w:type="dxa"/>
            <w:bottom w:w="0" w:type="dxa"/>
            <w:right w:w="108" w:type="dxa"/>
          </w:tblCellMar>
        </w:tblPrEx>
        <w:trPr>
          <w:cantSplit/>
          <w:jc w:val="center"/>
        </w:trPr>
        <w:tc>
          <w:tcPr>
            <w:tcW w:w="2304"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053045AF">
            <w:pPr>
              <w:spacing w:before="0" w:after="0" w:line="240" w:lineRule="auto"/>
              <w:rPr>
                <w:rFonts w:hint="default" w:ascii="Calibri" w:hAnsi="Calibri" w:cs="Calibri"/>
              </w:rPr>
            </w:pPr>
            <w:r>
              <w:rPr>
                <w:rFonts w:hint="default" w:ascii="Calibri" w:hAnsi="Calibri" w:cs="Calibri"/>
                <w:color w:val="1F2937"/>
                <w:sz w:val="17"/>
              </w:rPr>
              <w:t>AI Capex</w:t>
            </w:r>
          </w:p>
        </w:tc>
        <w:tc>
          <w:tcPr>
            <w:tcW w:w="223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38994592">
            <w:pPr>
              <w:spacing w:before="0" w:after="0" w:line="240" w:lineRule="auto"/>
              <w:rPr>
                <w:rFonts w:hint="default" w:ascii="Calibri" w:hAnsi="Calibri" w:cs="Calibri"/>
              </w:rPr>
            </w:pPr>
            <w:r>
              <w:rPr>
                <w:rFonts w:hint="default" w:ascii="Calibri" w:hAnsi="Calibri" w:cs="Calibri"/>
                <w:color w:val="1F2937"/>
                <w:sz w:val="17"/>
              </w:rPr>
              <w:t>Positive</w:t>
            </w:r>
          </w:p>
        </w:tc>
        <w:tc>
          <w:tcPr>
            <w:tcW w:w="5184"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4A90F69B">
            <w:pPr>
              <w:spacing w:before="0" w:after="0" w:line="240" w:lineRule="auto"/>
              <w:rPr>
                <w:rFonts w:hint="default" w:ascii="Calibri" w:hAnsi="Calibri" w:cs="Calibri"/>
              </w:rPr>
            </w:pPr>
            <w:r>
              <w:rPr>
                <w:rFonts w:hint="default" w:ascii="Calibri" w:hAnsi="Calibri" w:cs="Calibri"/>
                <w:color w:val="1F2937"/>
                <w:sz w:val="17"/>
              </w:rPr>
              <w:t>Capture beneficiaries of infrastructure and model investment</w:t>
            </w:r>
          </w:p>
        </w:tc>
      </w:tr>
      <w:tr w14:paraId="5329FAD1">
        <w:tblPrEx>
          <w:tblCellMar>
            <w:top w:w="0" w:type="dxa"/>
            <w:left w:w="108" w:type="dxa"/>
            <w:bottom w:w="0" w:type="dxa"/>
            <w:right w:w="108" w:type="dxa"/>
          </w:tblCellMar>
        </w:tblPrEx>
        <w:trPr>
          <w:cantSplit/>
          <w:jc w:val="center"/>
        </w:trPr>
        <w:tc>
          <w:tcPr>
            <w:tcW w:w="2304"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1A03C5B4">
            <w:pPr>
              <w:spacing w:before="0" w:after="0" w:line="240" w:lineRule="auto"/>
              <w:rPr>
                <w:rFonts w:hint="default" w:ascii="Calibri" w:hAnsi="Calibri" w:cs="Calibri"/>
              </w:rPr>
            </w:pPr>
            <w:r>
              <w:rPr>
                <w:rFonts w:hint="default" w:ascii="Calibri" w:hAnsi="Calibri" w:cs="Calibri"/>
                <w:color w:val="1F2937"/>
                <w:sz w:val="17"/>
              </w:rPr>
              <w:t>Semiconductor Supply Chain</w:t>
            </w:r>
          </w:p>
        </w:tc>
        <w:tc>
          <w:tcPr>
            <w:tcW w:w="223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0C4F3BF2">
            <w:pPr>
              <w:spacing w:before="0" w:after="0" w:line="240" w:lineRule="auto"/>
              <w:rPr>
                <w:rFonts w:hint="default" w:ascii="Calibri" w:hAnsi="Calibri" w:cs="Calibri"/>
              </w:rPr>
            </w:pPr>
            <w:r>
              <w:rPr>
                <w:rFonts w:hint="default" w:ascii="Calibri" w:hAnsi="Calibri" w:cs="Calibri"/>
                <w:color w:val="1F2937"/>
                <w:sz w:val="17"/>
              </w:rPr>
              <w:t>Positive</w:t>
            </w:r>
          </w:p>
        </w:tc>
        <w:tc>
          <w:tcPr>
            <w:tcW w:w="5184"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5484FE7F">
            <w:pPr>
              <w:spacing w:before="0" w:after="0" w:line="240" w:lineRule="auto"/>
              <w:rPr>
                <w:rFonts w:hint="default" w:ascii="Calibri" w:hAnsi="Calibri" w:cs="Calibri"/>
              </w:rPr>
            </w:pPr>
            <w:r>
              <w:rPr>
                <w:rFonts w:hint="default" w:ascii="Calibri" w:hAnsi="Calibri" w:cs="Calibri"/>
                <w:color w:val="1F2937"/>
                <w:sz w:val="17"/>
              </w:rPr>
              <w:t>Add the physical compute and equipment channel</w:t>
            </w:r>
          </w:p>
        </w:tc>
      </w:tr>
      <w:tr w14:paraId="26397900">
        <w:tblPrEx>
          <w:tblCellMar>
            <w:top w:w="0" w:type="dxa"/>
            <w:left w:w="108" w:type="dxa"/>
            <w:bottom w:w="0" w:type="dxa"/>
            <w:right w:w="108" w:type="dxa"/>
          </w:tblCellMar>
        </w:tblPrEx>
        <w:trPr>
          <w:cantSplit/>
          <w:jc w:val="center"/>
        </w:trPr>
        <w:tc>
          <w:tcPr>
            <w:tcW w:w="2304"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6EF181A4">
            <w:pPr>
              <w:spacing w:before="0" w:after="0" w:line="240" w:lineRule="auto"/>
              <w:rPr>
                <w:rFonts w:hint="default" w:ascii="Calibri" w:hAnsi="Calibri" w:cs="Calibri"/>
              </w:rPr>
            </w:pPr>
            <w:r>
              <w:rPr>
                <w:rFonts w:hint="default" w:ascii="Calibri" w:hAnsi="Calibri" w:cs="Calibri"/>
                <w:color w:val="1F2937"/>
                <w:sz w:val="17"/>
              </w:rPr>
              <w:t>Rates</w:t>
            </w:r>
          </w:p>
        </w:tc>
        <w:tc>
          <w:tcPr>
            <w:tcW w:w="223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6EA0F32B">
            <w:pPr>
              <w:spacing w:before="0" w:after="0" w:line="240" w:lineRule="auto"/>
              <w:rPr>
                <w:rFonts w:hint="default" w:ascii="Calibri" w:hAnsi="Calibri" w:cs="Calibri"/>
              </w:rPr>
            </w:pPr>
            <w:r>
              <w:rPr>
                <w:rFonts w:hint="default" w:ascii="Calibri" w:hAnsi="Calibri" w:cs="Calibri"/>
                <w:color w:val="1F2937"/>
                <w:sz w:val="17"/>
              </w:rPr>
              <w:t>Lower exposure preferred</w:t>
            </w:r>
          </w:p>
        </w:tc>
        <w:tc>
          <w:tcPr>
            <w:tcW w:w="5184"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20D239F9">
            <w:pPr>
              <w:spacing w:before="0" w:after="0" w:line="240" w:lineRule="auto"/>
              <w:rPr>
                <w:rFonts w:hint="default" w:ascii="Calibri" w:hAnsi="Calibri" w:cs="Calibri"/>
              </w:rPr>
            </w:pPr>
            <w:r>
              <w:rPr>
                <w:rFonts w:hint="default" w:ascii="Calibri" w:hAnsi="Calibri" w:cs="Calibri"/>
                <w:color w:val="1F2937"/>
                <w:sz w:val="17"/>
              </w:rPr>
              <w:t>Reduce sensitivity to rising long-duration yields</w:t>
            </w:r>
          </w:p>
        </w:tc>
      </w:tr>
    </w:tbl>
    <w:p w14:paraId="5B6DEB79">
      <w:pPr>
        <w:keepLines/>
        <w:spacing w:after="90" w:line="254" w:lineRule="auto"/>
        <w:rPr>
          <w:rFonts w:hint="default" w:ascii="Calibri" w:hAnsi="Calibri" w:cs="Calibri"/>
        </w:rPr>
      </w:pPr>
      <w:r>
        <w:rPr>
          <w:rFonts w:hint="default" w:ascii="Calibri" w:hAnsi="Calibri" w:cs="Calibri"/>
        </w:rPr>
        <w:t>This is a model configuration, not evidence that the view will outperform. Directions and weights have to be frozen at the signal date, applied to the full eligible universe, and evaluated only after delayed execution.</w:t>
      </w:r>
    </w:p>
    <w:p w14:paraId="23A1C441">
      <w:pPr>
        <w:pStyle w:val="2"/>
        <w:keepLines/>
        <w:rPr>
          <w:rFonts w:hint="default" w:ascii="Calibri" w:hAnsi="Calibri" w:cs="Calibri"/>
        </w:rPr>
      </w:pPr>
      <w:r>
        <w:rPr>
          <w:rFonts w:hint="default" w:ascii="Calibri" w:hAnsi="Calibri" w:cs="Calibri"/>
        </w:rPr>
        <w:t>3. Why I use a returns-first model here</w:t>
      </w:r>
    </w:p>
    <w:p w14:paraId="3125378B">
      <w:pPr>
        <w:keepLines/>
        <w:spacing w:after="90" w:line="254" w:lineRule="auto"/>
        <w:rPr>
          <w:rFonts w:hint="default" w:ascii="Calibri" w:hAnsi="Calibri" w:cs="Calibri"/>
        </w:rPr>
      </w:pPr>
      <w:r>
        <w:rPr>
          <w:rFonts w:hint="default" w:ascii="Calibri" w:hAnsi="Calibri" w:cs="Calibri"/>
        </w:rPr>
        <w:t xml:space="preserve">The design choice is deliberate. I can build the conventional characteristic-based </w:t>
      </w:r>
      <w:r>
        <w:rPr>
          <w:rFonts w:hint="default" w:ascii="Calibri" w:hAnsi="Calibri" w:cs="Calibri"/>
          <w:lang w:val="en-CA"/>
        </w:rPr>
        <w:t xml:space="preserve">barra-style </w:t>
      </w:r>
      <w:r>
        <w:rPr>
          <w:rFonts w:hint="default" w:ascii="Calibri" w:hAnsi="Calibri" w:cs="Calibri"/>
        </w:rPr>
        <w:t>model; this project shows an alternative way to map systematic exposures when I want the model to capture dynamic, overlapping economic relationships.</w:t>
      </w:r>
    </w:p>
    <w:tbl>
      <w:tblPr>
        <w:tblStyle w:val="12"/>
        <w:tblW w:w="0" w:type="auto"/>
        <w:jc w:val="center"/>
        <w:tblLayout w:type="fixed"/>
        <w:tblCellMar>
          <w:top w:w="0" w:type="dxa"/>
          <w:left w:w="108" w:type="dxa"/>
          <w:bottom w:w="0" w:type="dxa"/>
          <w:right w:w="108" w:type="dxa"/>
        </w:tblCellMar>
      </w:tblPr>
      <w:tblGrid>
        <w:gridCol w:w="1469"/>
        <w:gridCol w:w="1469"/>
        <w:gridCol w:w="1469"/>
        <w:gridCol w:w="1469"/>
        <w:gridCol w:w="1469"/>
        <w:gridCol w:w="1469"/>
        <w:gridCol w:w="1469"/>
      </w:tblGrid>
      <w:tr w14:paraId="4559ECE0">
        <w:tblPrEx>
          <w:tblCellMar>
            <w:top w:w="0" w:type="dxa"/>
            <w:left w:w="108" w:type="dxa"/>
            <w:bottom w:w="0" w:type="dxa"/>
            <w:right w:w="108" w:type="dxa"/>
          </w:tblCellMar>
        </w:tblPrEx>
        <w:trPr>
          <w:jc w:val="center"/>
        </w:trPr>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014405B4">
            <w:pPr>
              <w:spacing w:after="0"/>
              <w:jc w:val="center"/>
              <w:rPr>
                <w:rFonts w:hint="default" w:ascii="Calibri" w:hAnsi="Calibri" w:cs="Calibri"/>
              </w:rPr>
            </w:pPr>
            <w:r>
              <w:rPr>
                <w:rFonts w:hint="default" w:ascii="Calibri" w:hAnsi="Calibri" w:cs="Calibri"/>
                <w:b/>
                <w:color w:val="17365D"/>
                <w:sz w:val="18"/>
              </w:rPr>
              <w:t>Characteristic data</w:t>
            </w:r>
          </w:p>
        </w:tc>
        <w:tc>
          <w:tcPr>
            <w:tcW w:w="259" w:type="dxa"/>
            <w:vMerge w:val="restart"/>
            <w:tcBorders>
              <w:top w:val="nil"/>
              <w:left w:val="nil"/>
              <w:bottom w:val="nil"/>
              <w:right w:val="nil"/>
            </w:tcBorders>
            <w:vAlign w:val="center"/>
          </w:tcPr>
          <w:p w14:paraId="6DCD6218">
            <w:pPr>
              <w:spacing w:after="0"/>
              <w:jc w:val="center"/>
              <w:rPr>
                <w:rFonts w:hint="default" w:ascii="Calibri" w:hAnsi="Calibri" w:cs="Calibri"/>
              </w:rPr>
            </w:pPr>
            <w:r>
              <w:rPr>
                <w:rFonts w:hint="default" w:ascii="Calibri" w:hAnsi="Calibri" w:cs="Calibri"/>
                <w:b/>
                <w:color w:val="2F5597"/>
                <w:sz w:val="24"/>
              </w:rPr>
              <w:t>&gt;</w:t>
            </w:r>
          </w:p>
        </w:tc>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0D48466F">
            <w:pPr>
              <w:spacing w:after="0"/>
              <w:jc w:val="center"/>
              <w:rPr>
                <w:rFonts w:hint="default" w:ascii="Calibri" w:hAnsi="Calibri" w:cs="Calibri"/>
              </w:rPr>
            </w:pPr>
            <w:r>
              <w:rPr>
                <w:rFonts w:hint="default" w:ascii="Calibri" w:hAnsi="Calibri" w:cs="Calibri"/>
                <w:b/>
                <w:color w:val="17365D"/>
                <w:sz w:val="18"/>
              </w:rPr>
              <w:t>Assigned exposures</w:t>
            </w:r>
          </w:p>
        </w:tc>
        <w:tc>
          <w:tcPr>
            <w:tcW w:w="259" w:type="dxa"/>
            <w:vMerge w:val="restart"/>
            <w:tcBorders>
              <w:top w:val="nil"/>
              <w:left w:val="nil"/>
              <w:bottom w:val="nil"/>
              <w:right w:val="nil"/>
            </w:tcBorders>
            <w:vAlign w:val="center"/>
          </w:tcPr>
          <w:p w14:paraId="53AEF9FF">
            <w:pPr>
              <w:spacing w:after="0"/>
              <w:jc w:val="center"/>
              <w:rPr>
                <w:rFonts w:hint="default" w:ascii="Calibri" w:hAnsi="Calibri" w:cs="Calibri"/>
              </w:rPr>
            </w:pPr>
            <w:r>
              <w:rPr>
                <w:rFonts w:hint="default" w:ascii="Calibri" w:hAnsi="Calibri" w:cs="Calibri"/>
                <w:b/>
                <w:color w:val="2F5597"/>
                <w:sz w:val="24"/>
              </w:rPr>
              <w:t>&gt;</w:t>
            </w:r>
          </w:p>
        </w:tc>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7757D7E9">
            <w:pPr>
              <w:spacing w:after="0"/>
              <w:jc w:val="center"/>
              <w:rPr>
                <w:rFonts w:hint="default" w:ascii="Calibri" w:hAnsi="Calibri" w:cs="Calibri"/>
              </w:rPr>
            </w:pPr>
            <w:r>
              <w:rPr>
                <w:rFonts w:hint="default" w:ascii="Calibri" w:hAnsi="Calibri" w:cs="Calibri"/>
                <w:b/>
                <w:color w:val="17365D"/>
                <w:sz w:val="18"/>
              </w:rPr>
              <w:t>Factor returns</w:t>
            </w:r>
          </w:p>
        </w:tc>
        <w:tc>
          <w:tcPr>
            <w:tcW w:w="259" w:type="dxa"/>
            <w:vMerge w:val="restart"/>
            <w:tcBorders>
              <w:top w:val="nil"/>
              <w:left w:val="nil"/>
              <w:bottom w:val="nil"/>
              <w:right w:val="nil"/>
            </w:tcBorders>
            <w:vAlign w:val="center"/>
          </w:tcPr>
          <w:p w14:paraId="7A9085F1">
            <w:pPr>
              <w:spacing w:after="0"/>
              <w:jc w:val="center"/>
              <w:rPr>
                <w:rFonts w:hint="default" w:ascii="Calibri" w:hAnsi="Calibri" w:cs="Calibri"/>
              </w:rPr>
            </w:pPr>
            <w:r>
              <w:rPr>
                <w:rFonts w:hint="default" w:ascii="Calibri" w:hAnsi="Calibri" w:cs="Calibri"/>
                <w:b/>
                <w:color w:val="2F5597"/>
                <w:sz w:val="24"/>
              </w:rPr>
              <w:t>&gt;</w:t>
            </w:r>
          </w:p>
        </w:tc>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10240F09">
            <w:pPr>
              <w:spacing w:after="0"/>
              <w:jc w:val="center"/>
              <w:rPr>
                <w:rFonts w:hint="default" w:ascii="Calibri" w:hAnsi="Calibri" w:cs="Calibri"/>
              </w:rPr>
            </w:pPr>
            <w:r>
              <w:rPr>
                <w:rFonts w:hint="default" w:ascii="Calibri" w:hAnsi="Calibri" w:cs="Calibri"/>
                <w:b/>
                <w:color w:val="17365D"/>
                <w:sz w:val="18"/>
              </w:rPr>
              <w:t>Portfolio risk</w:t>
            </w:r>
          </w:p>
        </w:tc>
      </w:tr>
      <w:tr w14:paraId="1B922F2B">
        <w:tblPrEx>
          <w:tblCellMar>
            <w:top w:w="0" w:type="dxa"/>
            <w:left w:w="108" w:type="dxa"/>
            <w:bottom w:w="0" w:type="dxa"/>
            <w:right w:w="108" w:type="dxa"/>
          </w:tblCellMar>
        </w:tblPrEx>
        <w:trPr>
          <w:jc w:val="center"/>
        </w:trPr>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3A041EFE">
            <w:pPr>
              <w:spacing w:after="0"/>
              <w:jc w:val="center"/>
              <w:rPr>
                <w:rFonts w:hint="default" w:ascii="Calibri" w:hAnsi="Calibri" w:cs="Calibri"/>
              </w:rPr>
            </w:pPr>
            <w:r>
              <w:rPr>
                <w:rFonts w:hint="default" w:ascii="Calibri" w:hAnsi="Calibri" w:cs="Calibri"/>
                <w:color w:val="6B7280"/>
                <w:sz w:val="15"/>
              </w:rPr>
              <w:t>Descriptors + classifications</w:t>
            </w:r>
          </w:p>
        </w:tc>
        <w:tc>
          <w:tcPr>
            <w:tcW w:w="259" w:type="dxa"/>
            <w:vMerge w:val="continue"/>
            <w:tcBorders>
              <w:top w:val="nil"/>
              <w:left w:val="nil"/>
              <w:bottom w:val="nil"/>
              <w:right w:val="nil"/>
            </w:tcBorders>
            <w:vAlign w:val="center"/>
          </w:tcPr>
          <w:p w14:paraId="56FB0C37">
            <w:pPr>
              <w:rPr>
                <w:rFonts w:hint="default" w:ascii="Calibri" w:hAnsi="Calibri" w:cs="Calibri"/>
              </w:rPr>
            </w:pPr>
          </w:p>
        </w:tc>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4D00D66A">
            <w:pPr>
              <w:spacing w:after="0"/>
              <w:jc w:val="center"/>
              <w:rPr>
                <w:rFonts w:hint="default" w:ascii="Calibri" w:hAnsi="Calibri" w:cs="Calibri"/>
              </w:rPr>
            </w:pPr>
            <w:r>
              <w:rPr>
                <w:rFonts w:hint="default" w:ascii="Calibri" w:hAnsi="Calibri" w:cs="Calibri"/>
                <w:color w:val="6B7280"/>
                <w:sz w:val="15"/>
              </w:rPr>
              <w:t>Cross-sectional identity</w:t>
            </w:r>
          </w:p>
        </w:tc>
        <w:tc>
          <w:tcPr>
            <w:tcW w:w="259" w:type="dxa"/>
            <w:vMerge w:val="continue"/>
            <w:tcBorders>
              <w:top w:val="nil"/>
              <w:left w:val="nil"/>
              <w:bottom w:val="nil"/>
              <w:right w:val="nil"/>
            </w:tcBorders>
            <w:vAlign w:val="center"/>
          </w:tcPr>
          <w:p w14:paraId="6E52E241">
            <w:pPr>
              <w:rPr>
                <w:rFonts w:hint="default" w:ascii="Calibri" w:hAnsi="Calibri" w:cs="Calibri"/>
              </w:rPr>
            </w:pPr>
          </w:p>
        </w:tc>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06F72019">
            <w:pPr>
              <w:spacing w:after="0"/>
              <w:jc w:val="center"/>
              <w:rPr>
                <w:rFonts w:hint="default" w:ascii="Calibri" w:hAnsi="Calibri" w:cs="Calibri"/>
              </w:rPr>
            </w:pPr>
            <w:r>
              <w:rPr>
                <w:rFonts w:hint="default" w:ascii="Calibri" w:hAnsi="Calibri" w:cs="Calibri"/>
                <w:color w:val="6B7280"/>
                <w:sz w:val="15"/>
              </w:rPr>
              <w:t>Estimated from the cross-section</w:t>
            </w:r>
          </w:p>
        </w:tc>
        <w:tc>
          <w:tcPr>
            <w:tcW w:w="259" w:type="dxa"/>
            <w:vMerge w:val="continue"/>
            <w:tcBorders>
              <w:top w:val="nil"/>
              <w:left w:val="nil"/>
              <w:bottom w:val="nil"/>
              <w:right w:val="nil"/>
            </w:tcBorders>
            <w:vAlign w:val="center"/>
          </w:tcPr>
          <w:p w14:paraId="435E5B40">
            <w:pPr>
              <w:rPr>
                <w:rFonts w:hint="default" w:ascii="Calibri" w:hAnsi="Calibri" w:cs="Calibri"/>
              </w:rPr>
            </w:pPr>
          </w:p>
        </w:tc>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49F0F2E0">
            <w:pPr>
              <w:spacing w:after="0"/>
              <w:jc w:val="center"/>
              <w:rPr>
                <w:rFonts w:hint="default" w:ascii="Calibri" w:hAnsi="Calibri" w:cs="Calibri"/>
              </w:rPr>
            </w:pPr>
            <w:r>
              <w:rPr>
                <w:rFonts w:hint="default" w:ascii="Calibri" w:hAnsi="Calibri" w:cs="Calibri"/>
                <w:color w:val="6B7280"/>
                <w:sz w:val="15"/>
              </w:rPr>
              <w:t>Structural risk map</w:t>
            </w:r>
          </w:p>
        </w:tc>
      </w:tr>
    </w:tbl>
    <w:p w14:paraId="4193A0DF">
      <w:pPr>
        <w:keepLines/>
        <w:spacing w:before="20" w:after="100"/>
        <w:rPr>
          <w:rFonts w:hint="default" w:ascii="Calibri" w:hAnsi="Calibri" w:cs="Calibri"/>
        </w:rPr>
      </w:pPr>
      <w:r>
        <w:rPr>
          <w:rFonts w:hint="default" w:ascii="Calibri" w:hAnsi="Calibri" w:cs="Calibri"/>
          <w:i/>
          <w:color w:val="6B7280"/>
          <w:sz w:val="17"/>
        </w:rPr>
        <w:t>Figure 2. Characteristic-first / Barra-style construction.</w:t>
      </w:r>
    </w:p>
    <w:tbl>
      <w:tblPr>
        <w:tblStyle w:val="12"/>
        <w:tblW w:w="0" w:type="auto"/>
        <w:jc w:val="center"/>
        <w:tblLayout w:type="fixed"/>
        <w:tblCellMar>
          <w:top w:w="0" w:type="dxa"/>
          <w:left w:w="108" w:type="dxa"/>
          <w:bottom w:w="0" w:type="dxa"/>
          <w:right w:w="108" w:type="dxa"/>
        </w:tblCellMar>
      </w:tblPr>
      <w:tblGrid>
        <w:gridCol w:w="1469"/>
        <w:gridCol w:w="1469"/>
        <w:gridCol w:w="1469"/>
        <w:gridCol w:w="1469"/>
        <w:gridCol w:w="1469"/>
        <w:gridCol w:w="1469"/>
        <w:gridCol w:w="1469"/>
      </w:tblGrid>
      <w:tr w14:paraId="696970B5">
        <w:tblPrEx>
          <w:tblCellMar>
            <w:top w:w="0" w:type="dxa"/>
            <w:left w:w="108" w:type="dxa"/>
            <w:bottom w:w="0" w:type="dxa"/>
            <w:right w:w="108" w:type="dxa"/>
          </w:tblCellMar>
        </w:tblPrEx>
        <w:trPr>
          <w:jc w:val="center"/>
        </w:trPr>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307A3EEE">
            <w:pPr>
              <w:spacing w:after="0"/>
              <w:jc w:val="center"/>
              <w:rPr>
                <w:rFonts w:hint="default" w:ascii="Calibri" w:hAnsi="Calibri" w:cs="Calibri"/>
              </w:rPr>
            </w:pPr>
            <w:r>
              <w:rPr>
                <w:rFonts w:hint="default" w:ascii="Calibri" w:hAnsi="Calibri" w:cs="Calibri"/>
                <w:b/>
                <w:color w:val="17365D"/>
                <w:sz w:val="18"/>
              </w:rPr>
              <w:t>Investable factors</w:t>
            </w:r>
          </w:p>
        </w:tc>
        <w:tc>
          <w:tcPr>
            <w:tcW w:w="259" w:type="dxa"/>
            <w:vMerge w:val="restart"/>
            <w:tcBorders>
              <w:top w:val="nil"/>
              <w:left w:val="nil"/>
              <w:bottom w:val="nil"/>
              <w:right w:val="nil"/>
            </w:tcBorders>
            <w:vAlign w:val="center"/>
          </w:tcPr>
          <w:p w14:paraId="34E9CF4F">
            <w:pPr>
              <w:spacing w:after="0"/>
              <w:jc w:val="center"/>
              <w:rPr>
                <w:rFonts w:hint="default" w:ascii="Calibri" w:hAnsi="Calibri" w:cs="Calibri"/>
              </w:rPr>
            </w:pPr>
            <w:r>
              <w:rPr>
                <w:rFonts w:hint="default" w:ascii="Calibri" w:hAnsi="Calibri" w:cs="Calibri"/>
                <w:b/>
                <w:color w:val="2F5597"/>
                <w:sz w:val="24"/>
              </w:rPr>
              <w:t>&gt;</w:t>
            </w:r>
          </w:p>
        </w:tc>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05250769">
            <w:pPr>
              <w:spacing w:after="0"/>
              <w:jc w:val="center"/>
              <w:rPr>
                <w:rFonts w:hint="default" w:ascii="Calibri" w:hAnsi="Calibri" w:cs="Calibri"/>
              </w:rPr>
            </w:pPr>
            <w:r>
              <w:rPr>
                <w:rFonts w:hint="default" w:ascii="Calibri" w:hAnsi="Calibri" w:cs="Calibri"/>
                <w:b/>
                <w:color w:val="17365D"/>
                <w:sz w:val="18"/>
              </w:rPr>
              <w:t>Purified returns</w:t>
            </w:r>
          </w:p>
        </w:tc>
        <w:tc>
          <w:tcPr>
            <w:tcW w:w="259" w:type="dxa"/>
            <w:vMerge w:val="restart"/>
            <w:tcBorders>
              <w:top w:val="nil"/>
              <w:left w:val="nil"/>
              <w:bottom w:val="nil"/>
              <w:right w:val="nil"/>
            </w:tcBorders>
            <w:vAlign w:val="center"/>
          </w:tcPr>
          <w:p w14:paraId="30B52581">
            <w:pPr>
              <w:spacing w:after="0"/>
              <w:jc w:val="center"/>
              <w:rPr>
                <w:rFonts w:hint="default" w:ascii="Calibri" w:hAnsi="Calibri" w:cs="Calibri"/>
              </w:rPr>
            </w:pPr>
            <w:r>
              <w:rPr>
                <w:rFonts w:hint="default" w:ascii="Calibri" w:hAnsi="Calibri" w:cs="Calibri"/>
                <w:b/>
                <w:color w:val="2F5597"/>
                <w:sz w:val="24"/>
              </w:rPr>
              <w:t>&gt;</w:t>
            </w:r>
          </w:p>
        </w:tc>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4D67DB4C">
            <w:pPr>
              <w:spacing w:after="0"/>
              <w:jc w:val="center"/>
              <w:rPr>
                <w:rFonts w:hint="default" w:ascii="Calibri" w:hAnsi="Calibri" w:cs="Calibri"/>
              </w:rPr>
            </w:pPr>
            <w:r>
              <w:rPr>
                <w:rFonts w:hint="default" w:ascii="Calibri" w:hAnsi="Calibri" w:cs="Calibri"/>
                <w:b/>
                <w:color w:val="17365D"/>
                <w:sz w:val="18"/>
              </w:rPr>
              <w:t>Estimated betas</w:t>
            </w:r>
          </w:p>
        </w:tc>
        <w:tc>
          <w:tcPr>
            <w:tcW w:w="259" w:type="dxa"/>
            <w:vMerge w:val="restart"/>
            <w:tcBorders>
              <w:top w:val="nil"/>
              <w:left w:val="nil"/>
              <w:bottom w:val="nil"/>
              <w:right w:val="nil"/>
            </w:tcBorders>
            <w:vAlign w:val="center"/>
          </w:tcPr>
          <w:p w14:paraId="360043BC">
            <w:pPr>
              <w:spacing w:after="0"/>
              <w:jc w:val="center"/>
              <w:rPr>
                <w:rFonts w:hint="default" w:ascii="Calibri" w:hAnsi="Calibri" w:cs="Calibri"/>
              </w:rPr>
            </w:pPr>
            <w:r>
              <w:rPr>
                <w:rFonts w:hint="default" w:ascii="Calibri" w:hAnsi="Calibri" w:cs="Calibri"/>
                <w:b/>
                <w:color w:val="2F5597"/>
                <w:sz w:val="24"/>
              </w:rPr>
              <w:t>&gt;</w:t>
            </w:r>
          </w:p>
        </w:tc>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246B646A">
            <w:pPr>
              <w:spacing w:after="0"/>
              <w:jc w:val="center"/>
              <w:rPr>
                <w:rFonts w:hint="default" w:ascii="Calibri" w:hAnsi="Calibri" w:cs="Calibri"/>
              </w:rPr>
            </w:pPr>
            <w:r>
              <w:rPr>
                <w:rFonts w:hint="default" w:ascii="Calibri" w:hAnsi="Calibri" w:cs="Calibri"/>
                <w:b/>
                <w:color w:val="17365D"/>
                <w:sz w:val="18"/>
              </w:rPr>
              <w:t>Selection + risk</w:t>
            </w:r>
          </w:p>
        </w:tc>
      </w:tr>
      <w:tr w14:paraId="0962F1D4">
        <w:tblPrEx>
          <w:tblCellMar>
            <w:top w:w="0" w:type="dxa"/>
            <w:left w:w="108" w:type="dxa"/>
            <w:bottom w:w="0" w:type="dxa"/>
            <w:right w:w="108" w:type="dxa"/>
          </w:tblCellMar>
        </w:tblPrEx>
        <w:trPr>
          <w:jc w:val="center"/>
        </w:trPr>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041AED3A">
            <w:pPr>
              <w:spacing w:after="0"/>
              <w:jc w:val="center"/>
              <w:rPr>
                <w:rFonts w:hint="default" w:ascii="Calibri" w:hAnsi="Calibri" w:cs="Calibri"/>
              </w:rPr>
            </w:pPr>
            <w:r>
              <w:rPr>
                <w:rFonts w:hint="default" w:ascii="Calibri" w:hAnsi="Calibri" w:cs="Calibri"/>
                <w:color w:val="6B7280"/>
                <w:sz w:val="15"/>
              </w:rPr>
              <w:t>ETFs, spreads, baskets</w:t>
            </w:r>
          </w:p>
        </w:tc>
        <w:tc>
          <w:tcPr>
            <w:tcW w:w="259" w:type="dxa"/>
            <w:vMerge w:val="continue"/>
            <w:tcBorders>
              <w:top w:val="nil"/>
              <w:left w:val="nil"/>
              <w:bottom w:val="nil"/>
              <w:right w:val="nil"/>
            </w:tcBorders>
            <w:vAlign w:val="center"/>
          </w:tcPr>
          <w:p w14:paraId="4E1ECAC7">
            <w:pPr>
              <w:rPr>
                <w:rFonts w:hint="default" w:ascii="Calibri" w:hAnsi="Calibri" w:cs="Calibri"/>
              </w:rPr>
            </w:pPr>
          </w:p>
        </w:tc>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3488A5F7">
            <w:pPr>
              <w:spacing w:after="0"/>
              <w:jc w:val="center"/>
              <w:rPr>
                <w:rFonts w:hint="default" w:ascii="Calibri" w:hAnsi="Calibri" w:cs="Calibri"/>
              </w:rPr>
            </w:pPr>
            <w:r>
              <w:rPr>
                <w:rFonts w:hint="default" w:ascii="Calibri" w:hAnsi="Calibri" w:cs="Calibri"/>
                <w:color w:val="6B7280"/>
                <w:sz w:val="15"/>
              </w:rPr>
              <w:t>Incremental return streams</w:t>
            </w:r>
          </w:p>
        </w:tc>
        <w:tc>
          <w:tcPr>
            <w:tcW w:w="259" w:type="dxa"/>
            <w:vMerge w:val="continue"/>
            <w:tcBorders>
              <w:top w:val="nil"/>
              <w:left w:val="nil"/>
              <w:bottom w:val="nil"/>
              <w:right w:val="nil"/>
            </w:tcBorders>
            <w:vAlign w:val="center"/>
          </w:tcPr>
          <w:p w14:paraId="7C96FF48">
            <w:pPr>
              <w:rPr>
                <w:rFonts w:hint="default" w:ascii="Calibri" w:hAnsi="Calibri" w:cs="Calibri"/>
              </w:rPr>
            </w:pPr>
          </w:p>
        </w:tc>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1F48B4C0">
            <w:pPr>
              <w:spacing w:after="0"/>
              <w:jc w:val="center"/>
              <w:rPr>
                <w:rFonts w:hint="default" w:ascii="Calibri" w:hAnsi="Calibri" w:cs="Calibri"/>
              </w:rPr>
            </w:pPr>
            <w:r>
              <w:rPr>
                <w:rFonts w:hint="default" w:ascii="Calibri" w:hAnsi="Calibri" w:cs="Calibri"/>
                <w:color w:val="6B7280"/>
                <w:sz w:val="15"/>
              </w:rPr>
              <w:t>Observed stock sensitivity</w:t>
            </w:r>
          </w:p>
        </w:tc>
        <w:tc>
          <w:tcPr>
            <w:tcW w:w="259" w:type="dxa"/>
            <w:vMerge w:val="continue"/>
            <w:tcBorders>
              <w:top w:val="nil"/>
              <w:left w:val="nil"/>
              <w:bottom w:val="nil"/>
              <w:right w:val="nil"/>
            </w:tcBorders>
            <w:vAlign w:val="center"/>
          </w:tcPr>
          <w:p w14:paraId="34E93807">
            <w:pPr>
              <w:rPr>
                <w:rFonts w:hint="default" w:ascii="Calibri" w:hAnsi="Calibri" w:cs="Calibri"/>
              </w:rPr>
            </w:pPr>
          </w:p>
        </w:tc>
        <w:tc>
          <w:tcPr>
            <w:tcW w:w="2272"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77C9E2B8">
            <w:pPr>
              <w:spacing w:after="0"/>
              <w:jc w:val="center"/>
              <w:rPr>
                <w:rFonts w:hint="default" w:ascii="Calibri" w:hAnsi="Calibri" w:cs="Calibri"/>
              </w:rPr>
            </w:pPr>
            <w:r>
              <w:rPr>
                <w:rFonts w:hint="default" w:ascii="Calibri" w:hAnsi="Calibri" w:cs="Calibri"/>
                <w:color w:val="6B7280"/>
                <w:sz w:val="15"/>
              </w:rPr>
              <w:t>Investable portfolio use</w:t>
            </w:r>
          </w:p>
        </w:tc>
      </w:tr>
    </w:tbl>
    <w:p w14:paraId="52A2F435">
      <w:pPr>
        <w:keepLines/>
        <w:spacing w:before="20" w:after="100"/>
        <w:rPr>
          <w:rFonts w:hint="default" w:ascii="Calibri" w:hAnsi="Calibri" w:cs="Calibri"/>
        </w:rPr>
      </w:pPr>
      <w:r>
        <w:rPr>
          <w:rFonts w:hint="default" w:ascii="Calibri" w:hAnsi="Calibri" w:cs="Calibri"/>
          <w:i/>
          <w:color w:val="6B7280"/>
          <w:sz w:val="17"/>
        </w:rPr>
        <w:t>Figure 3. Returns-first / QuantLab construction.</w:t>
      </w:r>
    </w:p>
    <w:p w14:paraId="72D78598">
      <w:pPr>
        <w:keepLines/>
        <w:spacing w:after="90" w:line="254" w:lineRule="auto"/>
        <w:rPr>
          <w:rFonts w:hint="default" w:ascii="Calibri" w:hAnsi="Calibri" w:cs="Calibri"/>
        </w:rPr>
      </w:pPr>
      <w:r>
        <w:rPr>
          <w:rFonts w:hint="default" w:ascii="Calibri" w:hAnsi="Calibri" w:cs="Calibri"/>
        </w:rPr>
        <w:t>The distinction is not 'one industry versus many industries.' Commercial characteristic models can support fractional exposures. The real difference is where the exposure estimate comes from. Assigned exposures are based on descriptors, domicile, business lines, and classifications. Observed sensitivities are estimated from returns, are continuous, can be positive or negative, and can change as the market's understanding of a company changes.</w:t>
      </w:r>
    </w:p>
    <w:p w14:paraId="54D61C74">
      <w:pPr>
        <w:keepLines/>
        <w:spacing w:after="90" w:line="254" w:lineRule="auto"/>
        <w:rPr>
          <w:rFonts w:hint="default" w:ascii="Calibri" w:hAnsi="Calibri" w:cs="Calibri"/>
        </w:rPr>
      </w:pPr>
      <w:r>
        <w:rPr>
          <w:rFonts w:hint="default" w:ascii="Calibri" w:hAnsi="Calibri" w:cs="Calibri"/>
        </w:rPr>
        <w:t>That matters for ecosystem exposures. A US-listed technology company can behave partly like semiconductors, partly like an AI-capex theme, and partly like a country or financing factor because of its customers, suppliers, revenue base, or capital-spending cycle. The return beta is not proof of causality, but it can reveal a relationship that a static taxonomy does not express cleanly.</w:t>
      </w:r>
    </w:p>
    <w:p w14:paraId="2BABA303">
      <w:pPr>
        <w:pStyle w:val="2"/>
        <w:keepLines/>
        <w:rPr>
          <w:rFonts w:hint="default" w:ascii="Calibri" w:hAnsi="Calibri" w:cs="Calibri"/>
        </w:rPr>
      </w:pPr>
      <w:r>
        <w:rPr>
          <w:rFonts w:hint="default" w:ascii="Calibri" w:hAnsi="Calibri" w:cs="Calibri"/>
        </w:rPr>
        <w:t>4. Research chain and validation</w:t>
      </w:r>
    </w:p>
    <w:p w14:paraId="40BF0FB7">
      <w:pPr>
        <w:keepLines/>
        <w:spacing w:after="90" w:line="254" w:lineRule="auto"/>
        <w:rPr>
          <w:rFonts w:hint="default" w:ascii="Calibri" w:hAnsi="Calibri" w:cs="Calibri"/>
        </w:rPr>
      </w:pPr>
      <w:r>
        <w:rPr>
          <w:rFonts w:hint="default" w:ascii="Calibri" w:hAnsi="Calibri" w:cs="Calibri"/>
        </w:rPr>
        <w:t>I keep the research questions separate so I can diagnose where performance is actually coming from:</w:t>
      </w:r>
    </w:p>
    <w:p w14:paraId="4895A041">
      <w:pPr>
        <w:pStyle w:val="165"/>
        <w:keepLines/>
        <w:spacing w:after="44" w:line="250" w:lineRule="auto"/>
        <w:ind w:left="288" w:hanging="230"/>
        <w:rPr>
          <w:rFonts w:hint="default" w:ascii="Calibri" w:hAnsi="Calibri" w:cs="Calibri"/>
        </w:rPr>
      </w:pPr>
      <w:r>
        <w:rPr>
          <w:rFonts w:hint="default" w:ascii="Calibri" w:hAnsi="Calibri" w:cs="Calibri"/>
          <w:b/>
        </w:rPr>
        <w:t xml:space="preserve">1. </w:t>
      </w:r>
      <w:r>
        <w:rPr>
          <w:rFonts w:hint="default" w:ascii="Calibri" w:hAnsi="Calibri" w:cs="Calibri"/>
        </w:rPr>
        <w:t>Build and validate common factor-return directions.</w:t>
      </w:r>
    </w:p>
    <w:p w14:paraId="658F0992">
      <w:pPr>
        <w:pStyle w:val="165"/>
        <w:keepLines/>
        <w:spacing w:after="44" w:line="250" w:lineRule="auto"/>
        <w:ind w:left="288" w:hanging="230"/>
        <w:rPr>
          <w:rFonts w:hint="default" w:ascii="Calibri" w:hAnsi="Calibri" w:cs="Calibri"/>
        </w:rPr>
      </w:pPr>
      <w:r>
        <w:rPr>
          <w:rFonts w:hint="default" w:ascii="Calibri" w:hAnsi="Calibri" w:cs="Calibri"/>
          <w:b/>
        </w:rPr>
        <w:t xml:space="preserve">2. </w:t>
      </w:r>
      <w:r>
        <w:rPr>
          <w:rFonts w:hint="default" w:ascii="Calibri" w:hAnsi="Calibri" w:cs="Calibri"/>
        </w:rPr>
        <w:t>Estimate how each stock behaves relative to those directions.</w:t>
      </w:r>
    </w:p>
    <w:p w14:paraId="2D5537DA">
      <w:pPr>
        <w:pStyle w:val="165"/>
        <w:keepLines/>
        <w:spacing w:after="44" w:line="250" w:lineRule="auto"/>
        <w:ind w:left="288" w:hanging="230"/>
        <w:rPr>
          <w:rFonts w:hint="default" w:ascii="Calibri" w:hAnsi="Calibri" w:cs="Calibri"/>
        </w:rPr>
      </w:pPr>
      <w:r>
        <w:rPr>
          <w:rFonts w:hint="default" w:ascii="Calibri" w:hAnsi="Calibri" w:cs="Calibri"/>
          <w:b/>
        </w:rPr>
        <w:t xml:space="preserve">3. </w:t>
      </w:r>
      <w:r>
        <w:rPr>
          <w:rFonts w:hint="default" w:ascii="Calibri" w:hAnsi="Calibri" w:cs="Calibri"/>
        </w:rPr>
        <w:t>Translate a pre-defined factor view into a cross-sectional stock score.</w:t>
      </w:r>
    </w:p>
    <w:p w14:paraId="7286280D">
      <w:pPr>
        <w:pStyle w:val="165"/>
        <w:keepLines/>
        <w:spacing w:after="44" w:line="250" w:lineRule="auto"/>
        <w:ind w:left="288" w:hanging="230"/>
        <w:rPr>
          <w:rFonts w:hint="default" w:ascii="Calibri" w:hAnsi="Calibri" w:cs="Calibri"/>
        </w:rPr>
      </w:pPr>
      <w:r>
        <w:rPr>
          <w:rFonts w:hint="default" w:ascii="Calibri" w:hAnsi="Calibri" w:cs="Calibri"/>
          <w:b/>
        </w:rPr>
        <w:t xml:space="preserve">4. </w:t>
      </w:r>
      <w:r>
        <w:rPr>
          <w:rFonts w:hint="default" w:ascii="Calibri" w:hAnsi="Calibri" w:cs="Calibri"/>
        </w:rPr>
        <w:t>Apply eligibility and investability rules, then select the top names.</w:t>
      </w:r>
    </w:p>
    <w:p w14:paraId="288903A0">
      <w:pPr>
        <w:pStyle w:val="165"/>
        <w:keepLines/>
        <w:spacing w:after="44" w:line="250" w:lineRule="auto"/>
        <w:ind w:left="288" w:hanging="230"/>
        <w:rPr>
          <w:rFonts w:hint="default" w:ascii="Calibri" w:hAnsi="Calibri" w:cs="Calibri"/>
        </w:rPr>
      </w:pPr>
      <w:r>
        <w:rPr>
          <w:rFonts w:hint="default" w:ascii="Calibri" w:hAnsi="Calibri" w:cs="Calibri"/>
          <w:b/>
        </w:rPr>
        <w:t xml:space="preserve">5. </w:t>
      </w:r>
      <w:r>
        <w:rPr>
          <w:rFonts w:hint="default" w:ascii="Calibri" w:hAnsi="Calibri" w:cs="Calibri"/>
        </w:rPr>
        <w:t>Compare equal-weight selection with constrained portfolio sizing.</w:t>
      </w:r>
    </w:p>
    <w:p w14:paraId="7D8EAC49">
      <w:pPr>
        <w:pStyle w:val="165"/>
        <w:keepLines/>
        <w:spacing w:after="44" w:line="250" w:lineRule="auto"/>
        <w:ind w:left="288" w:hanging="230"/>
        <w:rPr>
          <w:rFonts w:hint="default" w:ascii="Calibri" w:hAnsi="Calibri" w:cs="Calibri"/>
        </w:rPr>
      </w:pPr>
      <w:r>
        <w:rPr>
          <w:rFonts w:hint="default" w:ascii="Calibri" w:hAnsi="Calibri" w:cs="Calibri"/>
          <w:b/>
        </w:rPr>
        <w:t xml:space="preserve">6. </w:t>
      </w:r>
      <w:r>
        <w:rPr>
          <w:rFonts w:hint="default" w:ascii="Calibri" w:hAnsi="Calibri" w:cs="Calibri"/>
        </w:rPr>
        <w:t>Backtest with historical information, delayed execution, and explicit costs.</w:t>
      </w:r>
    </w:p>
    <w:p w14:paraId="5A33A24F">
      <w:pPr>
        <w:pStyle w:val="3"/>
        <w:keepLines/>
        <w:rPr>
          <w:rFonts w:hint="default" w:ascii="Calibri" w:hAnsi="Calibri" w:cs="Calibri"/>
        </w:rPr>
      </w:pPr>
      <w:r>
        <w:rPr>
          <w:rFonts w:hint="default" w:ascii="Calibri" w:hAnsi="Calibri" w:cs="Calibri"/>
        </w:rPr>
        <w:t>4.1 What would count as validation</w:t>
      </w:r>
    </w:p>
    <w:p w14:paraId="3EAD883B">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Positive and reasonably stable next-period rank IC.</w:t>
      </w:r>
    </w:p>
    <w:p w14:paraId="6967064D">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Economically sensible quantile returns and a positive top-minus-bottom spread after costs.</w:t>
      </w:r>
    </w:p>
    <w:p w14:paraId="43B0E0F3">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Results that are not dependent on one sector, one factor, or one short market regime.</w:t>
      </w:r>
    </w:p>
    <w:p w14:paraId="0A73BDFF">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Acceptable turnover, concentration, and drawdown.</w:t>
      </w:r>
    </w:p>
    <w:p w14:paraId="01A475C2">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An untouched out-of-sample period after factor directions and weights are finalized.</w:t>
      </w:r>
    </w:p>
    <w:p w14:paraId="29380D67">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Incremental information when the top-down score is combined with a separate bottom-up fundamental / technical ranking.</w:t>
      </w:r>
    </w:p>
    <w:p w14:paraId="6D6C06FA">
      <w:pPr>
        <w:keepLines/>
        <w:spacing w:after="90" w:line="254" w:lineRule="auto"/>
        <w:rPr>
          <w:rFonts w:hint="default" w:ascii="Calibri" w:hAnsi="Calibri" w:cs="Calibri"/>
        </w:rPr>
      </w:pPr>
      <w:r>
        <w:rPr>
          <w:rFonts w:hint="default" w:ascii="Calibri" w:hAnsi="Calibri" w:cs="Calibri"/>
        </w:rPr>
        <w:t>Until those tests are met with better point-in-time data, the correct conclusion is that QuantLab has a clear investable hypothesis and a disciplined testing framework, not that it has already found a superior live strategy.</w:t>
      </w:r>
    </w:p>
    <w:p w14:paraId="0EFB25F2">
      <w:pPr>
        <w:pStyle w:val="2"/>
        <w:keepLines/>
        <w:rPr>
          <w:rFonts w:hint="default" w:ascii="Calibri" w:hAnsi="Calibri" w:cs="Calibri"/>
        </w:rPr>
      </w:pPr>
      <w:r>
        <w:rPr>
          <w:rFonts w:hint="default" w:ascii="Calibri" w:hAnsi="Calibri" w:cs="Calibri"/>
        </w:rPr>
        <w:t>5. Factor architecture</w:t>
      </w:r>
    </w:p>
    <w:p w14:paraId="2BAB7CF3">
      <w:pPr>
        <w:keepLines/>
        <w:spacing w:after="90" w:line="254" w:lineRule="auto"/>
        <w:rPr>
          <w:rFonts w:hint="default" w:ascii="Calibri" w:hAnsi="Calibri" w:cs="Calibri"/>
        </w:rPr>
      </w:pPr>
      <w:r>
        <w:rPr>
          <w:rFonts w:hint="default" w:ascii="Calibri" w:hAnsi="Calibri" w:cs="Calibri"/>
        </w:rPr>
        <w:t>The working model, FactorsToday-V2-Proxy-Thematic, contains 56 investable return factors in a nested hierarchy. The objective is not to imitate a commercial classification model with fewer inputs; it is to create auditable return streams and estimate continuous stock sensitivities to them.</w:t>
      </w:r>
    </w:p>
    <w:tbl>
      <w:tblPr>
        <w:tblStyle w:val="12"/>
        <w:tblW w:w="0" w:type="auto"/>
        <w:jc w:val="center"/>
        <w:tblLayout w:type="fixed"/>
        <w:tblCellMar>
          <w:top w:w="0" w:type="dxa"/>
          <w:left w:w="108" w:type="dxa"/>
          <w:bottom w:w="0" w:type="dxa"/>
          <w:right w:w="108" w:type="dxa"/>
        </w:tblCellMar>
      </w:tblPr>
      <w:tblGrid>
        <w:gridCol w:w="3427"/>
        <w:gridCol w:w="3427"/>
        <w:gridCol w:w="3427"/>
      </w:tblGrid>
      <w:tr w14:paraId="418D28B1">
        <w:tblPrEx>
          <w:tblCellMar>
            <w:top w:w="0" w:type="dxa"/>
            <w:left w:w="108" w:type="dxa"/>
            <w:bottom w:w="0" w:type="dxa"/>
            <w:right w:w="108" w:type="dxa"/>
          </w:tblCellMar>
        </w:tblPrEx>
        <w:trPr>
          <w:cantSplit/>
          <w:tblHeader/>
          <w:jc w:val="center"/>
        </w:trPr>
        <w:tc>
          <w:tcPr>
            <w:tcW w:w="2952"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5BE6C82B">
            <w:pPr>
              <w:spacing w:before="0" w:after="0" w:line="240" w:lineRule="auto"/>
              <w:rPr>
                <w:rFonts w:hint="default" w:ascii="Calibri" w:hAnsi="Calibri" w:cs="Calibri"/>
              </w:rPr>
            </w:pPr>
            <w:r>
              <w:rPr>
                <w:rFonts w:hint="default" w:ascii="Calibri" w:hAnsi="Calibri" w:cs="Calibri"/>
                <w:b/>
                <w:color w:val="FFFFFF"/>
                <w:sz w:val="17"/>
              </w:rPr>
              <w:t>Model level</w:t>
            </w:r>
          </w:p>
        </w:tc>
        <w:tc>
          <w:tcPr>
            <w:tcW w:w="1080"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4F56DAA3">
            <w:pPr>
              <w:spacing w:before="0" w:after="0" w:line="240" w:lineRule="auto"/>
              <w:rPr>
                <w:rFonts w:hint="default" w:ascii="Calibri" w:hAnsi="Calibri" w:cs="Calibri"/>
              </w:rPr>
            </w:pPr>
            <w:r>
              <w:rPr>
                <w:rFonts w:hint="default" w:ascii="Calibri" w:hAnsi="Calibri" w:cs="Calibri"/>
                <w:b/>
                <w:color w:val="FFFFFF"/>
                <w:sz w:val="17"/>
              </w:rPr>
              <w:t>Factors</w:t>
            </w:r>
          </w:p>
        </w:tc>
        <w:tc>
          <w:tcPr>
            <w:tcW w:w="5760"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3206A70F">
            <w:pPr>
              <w:spacing w:before="0" w:after="0" w:line="240" w:lineRule="auto"/>
              <w:rPr>
                <w:rFonts w:hint="default" w:ascii="Calibri" w:hAnsi="Calibri" w:cs="Calibri"/>
              </w:rPr>
            </w:pPr>
            <w:r>
              <w:rPr>
                <w:rFonts w:hint="default" w:ascii="Calibri" w:hAnsi="Calibri" w:cs="Calibri"/>
                <w:b/>
                <w:color w:val="FFFFFF"/>
                <w:sz w:val="17"/>
              </w:rPr>
              <w:t>Research question</w:t>
            </w:r>
          </w:p>
        </w:tc>
      </w:tr>
      <w:tr w14:paraId="4B34C75D">
        <w:tblPrEx>
          <w:tblCellMar>
            <w:top w:w="0" w:type="dxa"/>
            <w:left w:w="108" w:type="dxa"/>
            <w:bottom w:w="0" w:type="dxa"/>
            <w:right w:w="108" w:type="dxa"/>
          </w:tblCellMar>
        </w:tblPrEx>
        <w:trPr>
          <w:cantSplit/>
          <w:jc w:val="center"/>
        </w:trPr>
        <w:tc>
          <w:tcPr>
            <w:tcW w:w="295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4E8637C6">
            <w:pPr>
              <w:spacing w:before="0" w:after="0" w:line="240" w:lineRule="auto"/>
              <w:rPr>
                <w:rFonts w:hint="default" w:ascii="Calibri" w:hAnsi="Calibri" w:cs="Calibri"/>
              </w:rPr>
            </w:pPr>
            <w:r>
              <w:rPr>
                <w:rFonts w:hint="default" w:ascii="Calibri" w:hAnsi="Calibri" w:cs="Calibri"/>
                <w:color w:val="1F2937"/>
                <w:sz w:val="17"/>
              </w:rPr>
              <w:t>Base</w:t>
            </w:r>
          </w:p>
        </w:tc>
        <w:tc>
          <w:tcPr>
            <w:tcW w:w="1080"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083AD636">
            <w:pPr>
              <w:spacing w:before="0" w:after="0" w:line="240" w:lineRule="auto"/>
              <w:rPr>
                <w:rFonts w:hint="default" w:ascii="Calibri" w:hAnsi="Calibri" w:cs="Calibri"/>
              </w:rPr>
            </w:pPr>
            <w:r>
              <w:rPr>
                <w:rFonts w:hint="default" w:ascii="Calibri" w:hAnsi="Calibri" w:cs="Calibri"/>
                <w:color w:val="1F2937"/>
                <w:sz w:val="17"/>
              </w:rPr>
              <w:t>15</w:t>
            </w:r>
          </w:p>
        </w:tc>
        <w:tc>
          <w:tcPr>
            <w:tcW w:w="5760"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094A5755">
            <w:pPr>
              <w:spacing w:before="0" w:after="0" w:line="240" w:lineRule="auto"/>
              <w:rPr>
                <w:rFonts w:hint="default" w:ascii="Calibri" w:hAnsi="Calibri" w:cs="Calibri"/>
              </w:rPr>
            </w:pPr>
            <w:r>
              <w:rPr>
                <w:rFonts w:hint="default" w:ascii="Calibri" w:hAnsi="Calibri" w:cs="Calibri"/>
                <w:color w:val="1F2937"/>
                <w:sz w:val="17"/>
              </w:rPr>
              <w:t>Which broad market, macro, and style risks explain the stock?</w:t>
            </w:r>
          </w:p>
        </w:tc>
      </w:tr>
      <w:tr w14:paraId="682139E7">
        <w:tblPrEx>
          <w:tblCellMar>
            <w:top w:w="0" w:type="dxa"/>
            <w:left w:w="108" w:type="dxa"/>
            <w:bottom w:w="0" w:type="dxa"/>
            <w:right w:w="108" w:type="dxa"/>
          </w:tblCellMar>
        </w:tblPrEx>
        <w:trPr>
          <w:cantSplit/>
          <w:jc w:val="center"/>
        </w:trPr>
        <w:tc>
          <w:tcPr>
            <w:tcW w:w="295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7F27CB24">
            <w:pPr>
              <w:spacing w:before="0" w:after="0" w:line="240" w:lineRule="auto"/>
              <w:rPr>
                <w:rFonts w:hint="default" w:ascii="Calibri" w:hAnsi="Calibri" w:cs="Calibri"/>
              </w:rPr>
            </w:pPr>
            <w:r>
              <w:rPr>
                <w:rFonts w:hint="default" w:ascii="Calibri" w:hAnsi="Calibri" w:cs="Calibri"/>
                <w:color w:val="1F2937"/>
                <w:sz w:val="17"/>
              </w:rPr>
              <w:t>Base + Sector</w:t>
            </w:r>
          </w:p>
        </w:tc>
        <w:tc>
          <w:tcPr>
            <w:tcW w:w="1080"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1283F7A8">
            <w:pPr>
              <w:spacing w:before="0" w:after="0" w:line="240" w:lineRule="auto"/>
              <w:rPr>
                <w:rFonts w:hint="default" w:ascii="Calibri" w:hAnsi="Calibri" w:cs="Calibri"/>
              </w:rPr>
            </w:pPr>
            <w:r>
              <w:rPr>
                <w:rFonts w:hint="default" w:ascii="Calibri" w:hAnsi="Calibri" w:cs="Calibri"/>
                <w:color w:val="1F2937"/>
                <w:sz w:val="17"/>
              </w:rPr>
              <w:t>26</w:t>
            </w:r>
          </w:p>
        </w:tc>
        <w:tc>
          <w:tcPr>
            <w:tcW w:w="5760"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5AA0D811">
            <w:pPr>
              <w:spacing w:before="0" w:after="0" w:line="240" w:lineRule="auto"/>
              <w:rPr>
                <w:rFonts w:hint="default" w:ascii="Calibri" w:hAnsi="Calibri" w:cs="Calibri"/>
              </w:rPr>
            </w:pPr>
            <w:r>
              <w:rPr>
                <w:rFonts w:hint="default" w:ascii="Calibri" w:hAnsi="Calibri" w:cs="Calibri"/>
                <w:color w:val="1F2937"/>
                <w:sz w:val="17"/>
              </w:rPr>
              <w:t>Does sector exposure add explanatory power?</w:t>
            </w:r>
          </w:p>
        </w:tc>
      </w:tr>
      <w:tr w14:paraId="5F605AA1">
        <w:tblPrEx>
          <w:tblCellMar>
            <w:top w:w="0" w:type="dxa"/>
            <w:left w:w="108" w:type="dxa"/>
            <w:bottom w:w="0" w:type="dxa"/>
            <w:right w:w="108" w:type="dxa"/>
          </w:tblCellMar>
        </w:tblPrEx>
        <w:trPr>
          <w:cantSplit/>
          <w:jc w:val="center"/>
        </w:trPr>
        <w:tc>
          <w:tcPr>
            <w:tcW w:w="295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0C43BB5C">
            <w:pPr>
              <w:spacing w:before="0" w:after="0" w:line="240" w:lineRule="auto"/>
              <w:rPr>
                <w:rFonts w:hint="default" w:ascii="Calibri" w:hAnsi="Calibri" w:cs="Calibri"/>
              </w:rPr>
            </w:pPr>
            <w:r>
              <w:rPr>
                <w:rFonts w:hint="default" w:ascii="Calibri" w:hAnsi="Calibri" w:cs="Calibri"/>
                <w:color w:val="1F2937"/>
                <w:sz w:val="17"/>
              </w:rPr>
              <w:t>Base + Sector + Industry</w:t>
            </w:r>
          </w:p>
        </w:tc>
        <w:tc>
          <w:tcPr>
            <w:tcW w:w="1080"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26A28ED4">
            <w:pPr>
              <w:spacing w:before="0" w:after="0" w:line="240" w:lineRule="auto"/>
              <w:rPr>
                <w:rFonts w:hint="default" w:ascii="Calibri" w:hAnsi="Calibri" w:cs="Calibri"/>
              </w:rPr>
            </w:pPr>
            <w:r>
              <w:rPr>
                <w:rFonts w:hint="default" w:ascii="Calibri" w:hAnsi="Calibri" w:cs="Calibri"/>
                <w:color w:val="1F2937"/>
                <w:sz w:val="17"/>
              </w:rPr>
              <w:t>36</w:t>
            </w:r>
          </w:p>
        </w:tc>
        <w:tc>
          <w:tcPr>
            <w:tcW w:w="5760"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1E6F74CB">
            <w:pPr>
              <w:spacing w:before="0" w:after="0" w:line="240" w:lineRule="auto"/>
              <w:rPr>
                <w:rFonts w:hint="default" w:ascii="Calibri" w:hAnsi="Calibri" w:cs="Calibri"/>
              </w:rPr>
            </w:pPr>
            <w:r>
              <w:rPr>
                <w:rFonts w:hint="default" w:ascii="Calibri" w:hAnsi="Calibri" w:cs="Calibri"/>
                <w:color w:val="1F2937"/>
                <w:sz w:val="17"/>
              </w:rPr>
              <w:t>Is there a narrower industry driver beyond sector?</w:t>
            </w:r>
          </w:p>
        </w:tc>
      </w:tr>
      <w:tr w14:paraId="4B215403">
        <w:tblPrEx>
          <w:tblCellMar>
            <w:top w:w="0" w:type="dxa"/>
            <w:left w:w="108" w:type="dxa"/>
            <w:bottom w:w="0" w:type="dxa"/>
            <w:right w:w="108" w:type="dxa"/>
          </w:tblCellMar>
        </w:tblPrEx>
        <w:trPr>
          <w:cantSplit/>
          <w:jc w:val="center"/>
        </w:trPr>
        <w:tc>
          <w:tcPr>
            <w:tcW w:w="295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05B2C79C">
            <w:pPr>
              <w:spacing w:before="0" w:after="0" w:line="240" w:lineRule="auto"/>
              <w:rPr>
                <w:rFonts w:hint="default" w:ascii="Calibri" w:hAnsi="Calibri" w:cs="Calibri"/>
              </w:rPr>
            </w:pPr>
            <w:r>
              <w:rPr>
                <w:rFonts w:hint="default" w:ascii="Calibri" w:hAnsi="Calibri" w:cs="Calibri"/>
                <w:color w:val="1F2937"/>
                <w:sz w:val="17"/>
              </w:rPr>
              <w:t>All Factors + Themes</w:t>
            </w:r>
          </w:p>
        </w:tc>
        <w:tc>
          <w:tcPr>
            <w:tcW w:w="1080"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4D469D85">
            <w:pPr>
              <w:spacing w:before="0" w:after="0" w:line="240" w:lineRule="auto"/>
              <w:rPr>
                <w:rFonts w:hint="default" w:ascii="Calibri" w:hAnsi="Calibri" w:cs="Calibri"/>
              </w:rPr>
            </w:pPr>
            <w:r>
              <w:rPr>
                <w:rFonts w:hint="default" w:ascii="Calibri" w:hAnsi="Calibri" w:cs="Calibri"/>
                <w:color w:val="1F2937"/>
                <w:sz w:val="17"/>
              </w:rPr>
              <w:t>56</w:t>
            </w:r>
          </w:p>
        </w:tc>
        <w:tc>
          <w:tcPr>
            <w:tcW w:w="5760"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4771A06B">
            <w:pPr>
              <w:spacing w:before="0" w:after="0" w:line="240" w:lineRule="auto"/>
              <w:rPr>
                <w:rFonts w:hint="default" w:ascii="Calibri" w:hAnsi="Calibri" w:cs="Calibri"/>
              </w:rPr>
            </w:pPr>
            <w:r>
              <w:rPr>
                <w:rFonts w:hint="default" w:ascii="Calibri" w:hAnsi="Calibri" w:cs="Calibri"/>
                <w:color w:val="1F2937"/>
                <w:sz w:val="17"/>
              </w:rPr>
              <w:t>Are country or thematic sensitivities also material?</w:t>
            </w:r>
          </w:p>
        </w:tc>
      </w:tr>
    </w:tbl>
    <w:p w14:paraId="5BA8232A">
      <w:pPr>
        <w:pStyle w:val="3"/>
        <w:keepLines/>
        <w:rPr>
          <w:rFonts w:hint="default" w:ascii="Calibri" w:hAnsi="Calibri" w:cs="Calibri"/>
        </w:rPr>
      </w:pPr>
      <w:r>
        <w:rPr>
          <w:rFonts w:hint="default" w:ascii="Calibri" w:hAnsi="Calibri" w:cs="Calibri"/>
        </w:rPr>
        <w:t>5.1 Base factors</w:t>
      </w:r>
    </w:p>
    <w:tbl>
      <w:tblPr>
        <w:tblStyle w:val="12"/>
        <w:tblW w:w="0" w:type="auto"/>
        <w:jc w:val="center"/>
        <w:tblLayout w:type="fixed"/>
        <w:tblCellMar>
          <w:top w:w="0" w:type="dxa"/>
          <w:left w:w="108" w:type="dxa"/>
          <w:bottom w:w="0" w:type="dxa"/>
          <w:right w:w="108" w:type="dxa"/>
        </w:tblCellMar>
      </w:tblPr>
      <w:tblGrid>
        <w:gridCol w:w="3427"/>
        <w:gridCol w:w="3427"/>
        <w:gridCol w:w="3427"/>
      </w:tblGrid>
      <w:tr w14:paraId="571738A3">
        <w:tblPrEx>
          <w:tblCellMar>
            <w:top w:w="0" w:type="dxa"/>
            <w:left w:w="108" w:type="dxa"/>
            <w:bottom w:w="0" w:type="dxa"/>
            <w:right w:w="108" w:type="dxa"/>
          </w:tblCellMar>
        </w:tblPrEx>
        <w:trPr>
          <w:cantSplit/>
          <w:tblHeader/>
          <w:jc w:val="center"/>
        </w:trPr>
        <w:tc>
          <w:tcPr>
            <w:tcW w:w="1584"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04770376">
            <w:pPr>
              <w:spacing w:before="0" w:after="0" w:line="240" w:lineRule="auto"/>
              <w:rPr>
                <w:rFonts w:hint="default" w:ascii="Calibri" w:hAnsi="Calibri" w:cs="Calibri"/>
              </w:rPr>
            </w:pPr>
            <w:r>
              <w:rPr>
                <w:rFonts w:hint="default" w:ascii="Calibri" w:hAnsi="Calibri" w:cs="Calibri"/>
                <w:b/>
                <w:color w:val="FFFFFF"/>
                <w:sz w:val="17"/>
              </w:rPr>
              <w:t>Family</w:t>
            </w:r>
          </w:p>
        </w:tc>
        <w:tc>
          <w:tcPr>
            <w:tcW w:w="5544"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777B143D">
            <w:pPr>
              <w:spacing w:before="0" w:after="0" w:line="240" w:lineRule="auto"/>
              <w:rPr>
                <w:rFonts w:hint="default" w:ascii="Calibri" w:hAnsi="Calibri" w:cs="Calibri"/>
              </w:rPr>
            </w:pPr>
            <w:r>
              <w:rPr>
                <w:rFonts w:hint="default" w:ascii="Calibri" w:hAnsi="Calibri" w:cs="Calibri"/>
                <w:b/>
                <w:color w:val="FFFFFF"/>
                <w:sz w:val="17"/>
              </w:rPr>
              <w:t>Examples / recipe</w:t>
            </w:r>
          </w:p>
        </w:tc>
        <w:tc>
          <w:tcPr>
            <w:tcW w:w="2664"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53F9F757">
            <w:pPr>
              <w:spacing w:before="0" w:after="0" w:line="240" w:lineRule="auto"/>
              <w:rPr>
                <w:rFonts w:hint="default" w:ascii="Calibri" w:hAnsi="Calibri" w:cs="Calibri"/>
              </w:rPr>
            </w:pPr>
            <w:r>
              <w:rPr>
                <w:rFonts w:hint="default" w:ascii="Calibri" w:hAnsi="Calibri" w:cs="Calibri"/>
                <w:b/>
                <w:color w:val="FFFFFF"/>
                <w:sz w:val="17"/>
              </w:rPr>
              <w:t>Treatment</w:t>
            </w:r>
          </w:p>
        </w:tc>
      </w:tr>
      <w:tr w14:paraId="598D2037">
        <w:tblPrEx>
          <w:tblCellMar>
            <w:top w:w="0" w:type="dxa"/>
            <w:left w:w="108" w:type="dxa"/>
            <w:bottom w:w="0" w:type="dxa"/>
            <w:right w:w="108" w:type="dxa"/>
          </w:tblCellMar>
        </w:tblPrEx>
        <w:trPr>
          <w:cantSplit/>
          <w:jc w:val="center"/>
        </w:trPr>
        <w:tc>
          <w:tcPr>
            <w:tcW w:w="1584"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6384A7EA">
            <w:pPr>
              <w:spacing w:before="0" w:after="0" w:line="240" w:lineRule="auto"/>
              <w:rPr>
                <w:rFonts w:hint="default" w:ascii="Calibri" w:hAnsi="Calibri" w:cs="Calibri"/>
              </w:rPr>
            </w:pPr>
            <w:r>
              <w:rPr>
                <w:rFonts w:hint="default" w:ascii="Calibri" w:hAnsi="Calibri" w:cs="Calibri"/>
                <w:color w:val="1F2937"/>
                <w:sz w:val="17"/>
              </w:rPr>
              <w:t>Market</w:t>
            </w:r>
          </w:p>
        </w:tc>
        <w:tc>
          <w:tcPr>
            <w:tcW w:w="5544"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2D3843FB">
            <w:pPr>
              <w:spacing w:before="0" w:after="0" w:line="240" w:lineRule="auto"/>
              <w:rPr>
                <w:rFonts w:hint="default" w:ascii="Calibri" w:hAnsi="Calibri" w:cs="Calibri"/>
              </w:rPr>
            </w:pPr>
            <w:r>
              <w:rPr>
                <w:rFonts w:hint="default" w:ascii="Calibri" w:hAnsi="Calibri" w:cs="Calibri"/>
                <w:color w:val="1F2937"/>
                <w:sz w:val="17"/>
              </w:rPr>
              <w:t>IVV</w:t>
            </w:r>
          </w:p>
        </w:tc>
        <w:tc>
          <w:tcPr>
            <w:tcW w:w="2664"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25E95F9F">
            <w:pPr>
              <w:spacing w:before="0" w:after="0" w:line="240" w:lineRule="auto"/>
              <w:rPr>
                <w:rFonts w:hint="default" w:ascii="Calibri" w:hAnsi="Calibri" w:cs="Calibri"/>
              </w:rPr>
            </w:pPr>
            <w:r>
              <w:rPr>
                <w:rFonts w:hint="default" w:ascii="Calibri" w:hAnsi="Calibri" w:cs="Calibri"/>
                <w:color w:val="1F2937"/>
                <w:sz w:val="17"/>
              </w:rPr>
              <w:t>Raw, unscaled market return</w:t>
            </w:r>
          </w:p>
        </w:tc>
      </w:tr>
      <w:tr w14:paraId="461D16CE">
        <w:tblPrEx>
          <w:tblCellMar>
            <w:top w:w="0" w:type="dxa"/>
            <w:left w:w="108" w:type="dxa"/>
            <w:bottom w:w="0" w:type="dxa"/>
            <w:right w:w="108" w:type="dxa"/>
          </w:tblCellMar>
        </w:tblPrEx>
        <w:trPr>
          <w:cantSplit/>
          <w:jc w:val="center"/>
        </w:trPr>
        <w:tc>
          <w:tcPr>
            <w:tcW w:w="1584"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157DACF3">
            <w:pPr>
              <w:spacing w:before="0" w:after="0" w:line="240" w:lineRule="auto"/>
              <w:rPr>
                <w:rFonts w:hint="default" w:ascii="Calibri" w:hAnsi="Calibri" w:cs="Calibri"/>
              </w:rPr>
            </w:pPr>
            <w:r>
              <w:rPr>
                <w:rFonts w:hint="default" w:ascii="Calibri" w:hAnsi="Calibri" w:cs="Calibri"/>
                <w:color w:val="1F2937"/>
                <w:sz w:val="17"/>
              </w:rPr>
              <w:t>Macro</w:t>
            </w:r>
          </w:p>
        </w:tc>
        <w:tc>
          <w:tcPr>
            <w:tcW w:w="5544"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5A25A705">
            <w:pPr>
              <w:spacing w:before="0" w:after="0" w:line="240" w:lineRule="auto"/>
              <w:rPr>
                <w:rFonts w:hint="default" w:ascii="Calibri" w:hAnsi="Calibri" w:cs="Calibri"/>
              </w:rPr>
            </w:pPr>
            <w:r>
              <w:rPr>
                <w:rFonts w:hint="default" w:ascii="Calibri" w:hAnsi="Calibri" w:cs="Calibri"/>
                <w:color w:val="1F2937"/>
                <w:sz w:val="17"/>
              </w:rPr>
              <w:t>Rates = -TLT; Oil = USO; Gold = GLD; USD = UUP - BIL; CreditRisk = JNK - IEF</w:t>
            </w:r>
          </w:p>
        </w:tc>
        <w:tc>
          <w:tcPr>
            <w:tcW w:w="2664"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5091705F">
            <w:pPr>
              <w:spacing w:before="0" w:after="0" w:line="240" w:lineRule="auto"/>
              <w:rPr>
                <w:rFonts w:hint="default" w:ascii="Calibri" w:hAnsi="Calibri" w:cs="Calibri"/>
              </w:rPr>
            </w:pPr>
            <w:r>
              <w:rPr>
                <w:rFonts w:hint="default" w:ascii="Calibri" w:hAnsi="Calibri" w:cs="Calibri"/>
                <w:color w:val="1F2937"/>
                <w:sz w:val="17"/>
              </w:rPr>
              <w:t>Volatility-scaled</w:t>
            </w:r>
          </w:p>
        </w:tc>
      </w:tr>
      <w:tr w14:paraId="6BA3C373">
        <w:tblPrEx>
          <w:tblCellMar>
            <w:top w:w="0" w:type="dxa"/>
            <w:left w:w="108" w:type="dxa"/>
            <w:bottom w:w="0" w:type="dxa"/>
            <w:right w:w="108" w:type="dxa"/>
          </w:tblCellMar>
        </w:tblPrEx>
        <w:trPr>
          <w:cantSplit/>
          <w:jc w:val="center"/>
        </w:trPr>
        <w:tc>
          <w:tcPr>
            <w:tcW w:w="1584"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20568097">
            <w:pPr>
              <w:spacing w:before="0" w:after="0" w:line="240" w:lineRule="auto"/>
              <w:rPr>
                <w:rFonts w:hint="default" w:ascii="Calibri" w:hAnsi="Calibri" w:cs="Calibri"/>
              </w:rPr>
            </w:pPr>
            <w:r>
              <w:rPr>
                <w:rFonts w:hint="default" w:ascii="Calibri" w:hAnsi="Calibri" w:cs="Calibri"/>
                <w:color w:val="1F2937"/>
                <w:sz w:val="17"/>
              </w:rPr>
              <w:t>Style</w:t>
            </w:r>
          </w:p>
        </w:tc>
        <w:tc>
          <w:tcPr>
            <w:tcW w:w="5544"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376511D1">
            <w:pPr>
              <w:spacing w:before="0" w:after="0" w:line="240" w:lineRule="auto"/>
              <w:rPr>
                <w:rFonts w:hint="default" w:ascii="Calibri" w:hAnsi="Calibri" w:cs="Calibri"/>
              </w:rPr>
            </w:pPr>
            <w:r>
              <w:rPr>
                <w:rFonts w:hint="default" w:ascii="Calibri" w:hAnsi="Calibri" w:cs="Calibri"/>
                <w:color w:val="1F2937"/>
                <w:sz w:val="17"/>
              </w:rPr>
              <w:t>SmallSize, Momentum, Value, LowVolatility, Quality, Growth, BetaFactor, DividendYield, Liquidity</w:t>
            </w:r>
          </w:p>
        </w:tc>
        <w:tc>
          <w:tcPr>
            <w:tcW w:w="2664"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126082F6">
            <w:pPr>
              <w:spacing w:before="0" w:after="0" w:line="240" w:lineRule="auto"/>
              <w:rPr>
                <w:rFonts w:hint="default" w:ascii="Calibri" w:hAnsi="Calibri" w:cs="Calibri"/>
              </w:rPr>
            </w:pPr>
            <w:r>
              <w:rPr>
                <w:rFonts w:hint="default" w:ascii="Calibri" w:hAnsi="Calibri" w:cs="Calibri"/>
                <w:color w:val="1F2937"/>
                <w:sz w:val="17"/>
              </w:rPr>
              <w:t>ETF long/hedge pairs with rolling hedge beta</w:t>
            </w:r>
          </w:p>
        </w:tc>
      </w:tr>
    </w:tbl>
    <w:p w14:paraId="7B69958A">
      <w:pPr>
        <w:pStyle w:val="3"/>
        <w:keepLines/>
        <w:rPr>
          <w:rFonts w:hint="default" w:ascii="Calibri" w:hAnsi="Calibri" w:cs="Calibri"/>
        </w:rPr>
      </w:pPr>
      <w:r>
        <w:rPr>
          <w:rFonts w:hint="default" w:ascii="Calibri" w:hAnsi="Calibri" w:cs="Calibri"/>
        </w:rPr>
        <w:t>5.2 Purification hierarchy</w:t>
      </w:r>
    </w:p>
    <w:tbl>
      <w:tblPr>
        <w:tblStyle w:val="12"/>
        <w:tblW w:w="0" w:type="auto"/>
        <w:jc w:val="center"/>
        <w:tblLayout w:type="fixed"/>
        <w:tblCellMar>
          <w:top w:w="0" w:type="dxa"/>
          <w:left w:w="108" w:type="dxa"/>
          <w:bottom w:w="0" w:type="dxa"/>
          <w:right w:w="108" w:type="dxa"/>
        </w:tblCellMar>
      </w:tblPr>
      <w:tblGrid>
        <w:gridCol w:w="1142"/>
        <w:gridCol w:w="1142"/>
        <w:gridCol w:w="1142"/>
        <w:gridCol w:w="1142"/>
        <w:gridCol w:w="1142"/>
        <w:gridCol w:w="1142"/>
        <w:gridCol w:w="1142"/>
        <w:gridCol w:w="1142"/>
        <w:gridCol w:w="1142"/>
      </w:tblGrid>
      <w:tr w14:paraId="53C48180">
        <w:tblPrEx>
          <w:tblCellMar>
            <w:top w:w="0" w:type="dxa"/>
            <w:left w:w="108" w:type="dxa"/>
            <w:bottom w:w="0" w:type="dxa"/>
            <w:right w:w="108" w:type="dxa"/>
          </w:tblCellMar>
        </w:tblPrEx>
        <w:trPr>
          <w:jc w:val="center"/>
        </w:trPr>
        <w:tc>
          <w:tcPr>
            <w:tcW w:w="1765"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2DB7961F">
            <w:pPr>
              <w:spacing w:after="0"/>
              <w:jc w:val="center"/>
              <w:rPr>
                <w:rFonts w:hint="default" w:ascii="Calibri" w:hAnsi="Calibri" w:cs="Calibri"/>
              </w:rPr>
            </w:pPr>
            <w:r>
              <w:rPr>
                <w:rFonts w:hint="default" w:ascii="Calibri" w:hAnsi="Calibri" w:cs="Calibri"/>
                <w:b/>
                <w:color w:val="17365D"/>
                <w:sz w:val="18"/>
              </w:rPr>
              <w:t>Base (15)</w:t>
            </w:r>
          </w:p>
        </w:tc>
        <w:tc>
          <w:tcPr>
            <w:tcW w:w="259" w:type="dxa"/>
            <w:vMerge w:val="restart"/>
            <w:tcBorders>
              <w:top w:val="nil"/>
              <w:left w:val="nil"/>
              <w:bottom w:val="nil"/>
              <w:right w:val="nil"/>
            </w:tcBorders>
            <w:vAlign w:val="center"/>
          </w:tcPr>
          <w:p w14:paraId="6F0272F9">
            <w:pPr>
              <w:spacing w:after="0"/>
              <w:jc w:val="center"/>
              <w:rPr>
                <w:rFonts w:hint="default" w:ascii="Calibri" w:hAnsi="Calibri" w:cs="Calibri"/>
              </w:rPr>
            </w:pPr>
            <w:r>
              <w:rPr>
                <w:rFonts w:hint="default" w:ascii="Calibri" w:hAnsi="Calibri" w:cs="Calibri"/>
                <w:b/>
                <w:color w:val="2F5597"/>
                <w:sz w:val="24"/>
              </w:rPr>
              <w:t>&gt;</w:t>
            </w:r>
          </w:p>
        </w:tc>
        <w:tc>
          <w:tcPr>
            <w:tcW w:w="1765"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659CF985">
            <w:pPr>
              <w:spacing w:after="0"/>
              <w:jc w:val="center"/>
              <w:rPr>
                <w:rFonts w:hint="default" w:ascii="Calibri" w:hAnsi="Calibri" w:cs="Calibri"/>
              </w:rPr>
            </w:pPr>
            <w:r>
              <w:rPr>
                <w:rFonts w:hint="default" w:ascii="Calibri" w:hAnsi="Calibri" w:cs="Calibri"/>
                <w:b/>
                <w:color w:val="17365D"/>
                <w:sz w:val="18"/>
              </w:rPr>
              <w:t>Sectors (11)</w:t>
            </w:r>
          </w:p>
        </w:tc>
        <w:tc>
          <w:tcPr>
            <w:tcW w:w="259" w:type="dxa"/>
            <w:vMerge w:val="restart"/>
            <w:tcBorders>
              <w:top w:val="nil"/>
              <w:left w:val="nil"/>
              <w:bottom w:val="nil"/>
              <w:right w:val="nil"/>
            </w:tcBorders>
            <w:vAlign w:val="center"/>
          </w:tcPr>
          <w:p w14:paraId="79E129F9">
            <w:pPr>
              <w:spacing w:after="0"/>
              <w:jc w:val="center"/>
              <w:rPr>
                <w:rFonts w:hint="default" w:ascii="Calibri" w:hAnsi="Calibri" w:cs="Calibri"/>
              </w:rPr>
            </w:pPr>
            <w:r>
              <w:rPr>
                <w:rFonts w:hint="default" w:ascii="Calibri" w:hAnsi="Calibri" w:cs="Calibri"/>
                <w:b/>
                <w:color w:val="2F5597"/>
                <w:sz w:val="24"/>
              </w:rPr>
              <w:t>&gt;</w:t>
            </w:r>
          </w:p>
        </w:tc>
        <w:tc>
          <w:tcPr>
            <w:tcW w:w="1765"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192F5F02">
            <w:pPr>
              <w:spacing w:after="0"/>
              <w:jc w:val="center"/>
              <w:rPr>
                <w:rFonts w:hint="default" w:ascii="Calibri" w:hAnsi="Calibri" w:cs="Calibri"/>
              </w:rPr>
            </w:pPr>
            <w:r>
              <w:rPr>
                <w:rFonts w:hint="default" w:ascii="Calibri" w:hAnsi="Calibri" w:cs="Calibri"/>
                <w:b/>
                <w:color w:val="17365D"/>
                <w:sz w:val="18"/>
              </w:rPr>
              <w:t>Industries (10)</w:t>
            </w:r>
          </w:p>
        </w:tc>
        <w:tc>
          <w:tcPr>
            <w:tcW w:w="259" w:type="dxa"/>
            <w:vMerge w:val="restart"/>
            <w:tcBorders>
              <w:top w:val="nil"/>
              <w:left w:val="nil"/>
              <w:bottom w:val="nil"/>
              <w:right w:val="nil"/>
            </w:tcBorders>
            <w:vAlign w:val="center"/>
          </w:tcPr>
          <w:p w14:paraId="47E606D2">
            <w:pPr>
              <w:spacing w:after="0"/>
              <w:jc w:val="center"/>
              <w:rPr>
                <w:rFonts w:hint="default" w:ascii="Calibri" w:hAnsi="Calibri" w:cs="Calibri"/>
              </w:rPr>
            </w:pPr>
            <w:r>
              <w:rPr>
                <w:rFonts w:hint="default" w:ascii="Calibri" w:hAnsi="Calibri" w:cs="Calibri"/>
                <w:b/>
                <w:color w:val="2F5597"/>
                <w:sz w:val="24"/>
              </w:rPr>
              <w:t>&gt;</w:t>
            </w:r>
          </w:p>
        </w:tc>
        <w:tc>
          <w:tcPr>
            <w:tcW w:w="1765"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72C207ED">
            <w:pPr>
              <w:spacing w:after="0"/>
              <w:jc w:val="center"/>
              <w:rPr>
                <w:rFonts w:hint="default" w:ascii="Calibri" w:hAnsi="Calibri" w:cs="Calibri"/>
              </w:rPr>
            </w:pPr>
            <w:r>
              <w:rPr>
                <w:rFonts w:hint="default" w:ascii="Calibri" w:hAnsi="Calibri" w:cs="Calibri"/>
                <w:b/>
                <w:color w:val="17365D"/>
                <w:sz w:val="18"/>
              </w:rPr>
              <w:t>Countries (10)</w:t>
            </w:r>
          </w:p>
        </w:tc>
        <w:tc>
          <w:tcPr>
            <w:tcW w:w="259" w:type="dxa"/>
            <w:vMerge w:val="restart"/>
            <w:tcBorders>
              <w:top w:val="nil"/>
              <w:left w:val="nil"/>
              <w:bottom w:val="nil"/>
              <w:right w:val="nil"/>
            </w:tcBorders>
            <w:vAlign w:val="center"/>
          </w:tcPr>
          <w:p w14:paraId="53EADF5F">
            <w:pPr>
              <w:spacing w:after="0"/>
              <w:jc w:val="center"/>
              <w:rPr>
                <w:rFonts w:hint="default" w:ascii="Calibri" w:hAnsi="Calibri" w:cs="Calibri"/>
              </w:rPr>
            </w:pPr>
            <w:r>
              <w:rPr>
                <w:rFonts w:hint="default" w:ascii="Calibri" w:hAnsi="Calibri" w:cs="Calibri"/>
                <w:b/>
                <w:color w:val="2F5597"/>
                <w:sz w:val="24"/>
              </w:rPr>
              <w:t>&gt;</w:t>
            </w:r>
          </w:p>
        </w:tc>
        <w:tc>
          <w:tcPr>
            <w:tcW w:w="1765"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3F1C7A89">
            <w:pPr>
              <w:spacing w:after="0"/>
              <w:jc w:val="center"/>
              <w:rPr>
                <w:rFonts w:hint="default" w:ascii="Calibri" w:hAnsi="Calibri" w:cs="Calibri"/>
              </w:rPr>
            </w:pPr>
            <w:r>
              <w:rPr>
                <w:rFonts w:hint="default" w:ascii="Calibri" w:hAnsi="Calibri" w:cs="Calibri"/>
                <w:b/>
                <w:color w:val="17365D"/>
                <w:sz w:val="18"/>
              </w:rPr>
              <w:t>Themes (10)</w:t>
            </w:r>
          </w:p>
        </w:tc>
      </w:tr>
      <w:tr w14:paraId="6C3299F5">
        <w:tblPrEx>
          <w:tblCellMar>
            <w:top w:w="0" w:type="dxa"/>
            <w:left w:w="108" w:type="dxa"/>
            <w:bottom w:w="0" w:type="dxa"/>
            <w:right w:w="108" w:type="dxa"/>
          </w:tblCellMar>
        </w:tblPrEx>
        <w:trPr>
          <w:jc w:val="center"/>
        </w:trPr>
        <w:tc>
          <w:tcPr>
            <w:tcW w:w="1765"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4A172531">
            <w:pPr>
              <w:spacing w:after="0"/>
              <w:jc w:val="center"/>
              <w:rPr>
                <w:rFonts w:hint="default" w:ascii="Calibri" w:hAnsi="Calibri" w:cs="Calibri"/>
              </w:rPr>
            </w:pPr>
            <w:r>
              <w:rPr>
                <w:rFonts w:hint="default" w:ascii="Calibri" w:hAnsi="Calibri" w:cs="Calibri"/>
                <w:color w:val="6B7280"/>
                <w:sz w:val="15"/>
              </w:rPr>
              <w:t>Market, macro, style</w:t>
            </w:r>
          </w:p>
        </w:tc>
        <w:tc>
          <w:tcPr>
            <w:tcW w:w="259" w:type="dxa"/>
            <w:vMerge w:val="continue"/>
            <w:tcBorders>
              <w:top w:val="nil"/>
              <w:left w:val="nil"/>
              <w:bottom w:val="nil"/>
              <w:right w:val="nil"/>
            </w:tcBorders>
            <w:vAlign w:val="center"/>
          </w:tcPr>
          <w:p w14:paraId="3569E612">
            <w:pPr>
              <w:rPr>
                <w:rFonts w:hint="default" w:ascii="Calibri" w:hAnsi="Calibri" w:cs="Calibri"/>
              </w:rPr>
            </w:pPr>
          </w:p>
        </w:tc>
        <w:tc>
          <w:tcPr>
            <w:tcW w:w="1765"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0760C15F">
            <w:pPr>
              <w:spacing w:after="0"/>
              <w:jc w:val="center"/>
              <w:rPr>
                <w:rFonts w:hint="default" w:ascii="Calibri" w:hAnsi="Calibri" w:cs="Calibri"/>
              </w:rPr>
            </w:pPr>
            <w:r>
              <w:rPr>
                <w:rFonts w:hint="default" w:ascii="Calibri" w:hAnsi="Calibri" w:cs="Calibri"/>
                <w:color w:val="6B7280"/>
                <w:sz w:val="15"/>
              </w:rPr>
              <w:t>Strip against Base</w:t>
            </w:r>
          </w:p>
        </w:tc>
        <w:tc>
          <w:tcPr>
            <w:tcW w:w="259" w:type="dxa"/>
            <w:vMerge w:val="continue"/>
            <w:tcBorders>
              <w:top w:val="nil"/>
              <w:left w:val="nil"/>
              <w:bottom w:val="nil"/>
              <w:right w:val="nil"/>
            </w:tcBorders>
            <w:vAlign w:val="center"/>
          </w:tcPr>
          <w:p w14:paraId="45BEDEE0">
            <w:pPr>
              <w:rPr>
                <w:rFonts w:hint="default" w:ascii="Calibri" w:hAnsi="Calibri" w:cs="Calibri"/>
              </w:rPr>
            </w:pPr>
          </w:p>
        </w:tc>
        <w:tc>
          <w:tcPr>
            <w:tcW w:w="1765"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0DE58F33">
            <w:pPr>
              <w:spacing w:after="0"/>
              <w:jc w:val="center"/>
              <w:rPr>
                <w:rFonts w:hint="default" w:ascii="Calibri" w:hAnsi="Calibri" w:cs="Calibri"/>
              </w:rPr>
            </w:pPr>
            <w:r>
              <w:rPr>
                <w:rFonts w:hint="default" w:ascii="Calibri" w:hAnsi="Calibri" w:cs="Calibri"/>
                <w:color w:val="6B7280"/>
                <w:sz w:val="15"/>
              </w:rPr>
              <w:t>Strip against Base + sectors</w:t>
            </w:r>
          </w:p>
        </w:tc>
        <w:tc>
          <w:tcPr>
            <w:tcW w:w="259" w:type="dxa"/>
            <w:vMerge w:val="continue"/>
            <w:tcBorders>
              <w:top w:val="nil"/>
              <w:left w:val="nil"/>
              <w:bottom w:val="nil"/>
              <w:right w:val="nil"/>
            </w:tcBorders>
            <w:vAlign w:val="center"/>
          </w:tcPr>
          <w:p w14:paraId="1EE7C657">
            <w:pPr>
              <w:rPr>
                <w:rFonts w:hint="default" w:ascii="Calibri" w:hAnsi="Calibri" w:cs="Calibri"/>
              </w:rPr>
            </w:pPr>
          </w:p>
        </w:tc>
        <w:tc>
          <w:tcPr>
            <w:tcW w:w="1765"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1FE156F3">
            <w:pPr>
              <w:spacing w:after="0"/>
              <w:jc w:val="center"/>
              <w:rPr>
                <w:rFonts w:hint="default" w:ascii="Calibri" w:hAnsi="Calibri" w:cs="Calibri"/>
              </w:rPr>
            </w:pPr>
            <w:r>
              <w:rPr>
                <w:rFonts w:hint="default" w:ascii="Calibri" w:hAnsi="Calibri" w:cs="Calibri"/>
                <w:color w:val="6B7280"/>
                <w:sz w:val="15"/>
              </w:rPr>
              <w:t>Strip against prior layers</w:t>
            </w:r>
          </w:p>
        </w:tc>
        <w:tc>
          <w:tcPr>
            <w:tcW w:w="259" w:type="dxa"/>
            <w:vMerge w:val="continue"/>
            <w:tcBorders>
              <w:top w:val="nil"/>
              <w:left w:val="nil"/>
              <w:bottom w:val="nil"/>
              <w:right w:val="nil"/>
            </w:tcBorders>
            <w:vAlign w:val="center"/>
          </w:tcPr>
          <w:p w14:paraId="1ABE34F7">
            <w:pPr>
              <w:rPr>
                <w:rFonts w:hint="default" w:ascii="Calibri" w:hAnsi="Calibri" w:cs="Calibri"/>
              </w:rPr>
            </w:pPr>
          </w:p>
        </w:tc>
        <w:tc>
          <w:tcPr>
            <w:tcW w:w="1765" w:type="dxa"/>
            <w:tcBorders>
              <w:top w:val="single" w:color="D2D9E3" w:sz="4" w:space="0"/>
              <w:left w:val="single" w:color="D2D9E3" w:sz="4" w:space="0"/>
              <w:bottom w:val="single" w:color="D2D9E3" w:sz="4" w:space="0"/>
              <w:right w:val="single" w:color="D2D9E3" w:sz="4" w:space="0"/>
            </w:tcBorders>
            <w:shd w:val="clear" w:color="auto" w:fill="EAF0F8"/>
            <w:tcMar>
              <w:top w:w="55" w:type="dxa"/>
              <w:left w:w="55" w:type="dxa"/>
              <w:bottom w:w="55" w:type="dxa"/>
              <w:right w:w="55" w:type="dxa"/>
            </w:tcMar>
          </w:tcPr>
          <w:p w14:paraId="1C4EFEC8">
            <w:pPr>
              <w:spacing w:after="0"/>
              <w:jc w:val="center"/>
              <w:rPr>
                <w:rFonts w:hint="default" w:ascii="Calibri" w:hAnsi="Calibri" w:cs="Calibri"/>
              </w:rPr>
            </w:pPr>
            <w:r>
              <w:rPr>
                <w:rFonts w:hint="default" w:ascii="Calibri" w:hAnsi="Calibri" w:cs="Calibri"/>
                <w:color w:val="6B7280"/>
                <w:sz w:val="15"/>
              </w:rPr>
              <w:t>Strip against full pre-theme stack</w:t>
            </w:r>
          </w:p>
        </w:tc>
      </w:tr>
    </w:tbl>
    <w:p w14:paraId="03A8BD39">
      <w:pPr>
        <w:keepLines/>
        <w:spacing w:before="20" w:after="100"/>
        <w:rPr>
          <w:rFonts w:hint="default" w:ascii="Calibri" w:hAnsi="Calibri" w:cs="Calibri"/>
        </w:rPr>
      </w:pPr>
      <w:r>
        <w:rPr>
          <w:rFonts w:hint="default" w:ascii="Calibri" w:hAnsi="Calibri" w:cs="Calibri"/>
          <w:i/>
          <w:color w:val="6B7280"/>
          <w:sz w:val="17"/>
        </w:rPr>
        <w:t>Figure 4. Later layers are purified against the complete preceding stack; factors within the same layer are not stripped against one another.</w:t>
      </w:r>
    </w:p>
    <w:p w14:paraId="72DBAEEE">
      <w:pPr>
        <w:keepLines/>
        <w:spacing w:after="90" w:line="254" w:lineRule="auto"/>
        <w:rPr>
          <w:rFonts w:hint="default" w:ascii="Calibri" w:hAnsi="Calibri" w:cs="Calibri"/>
        </w:rPr>
      </w:pPr>
      <w:r>
        <w:rPr>
          <w:rFonts w:hint="default" w:ascii="Calibri" w:hAnsi="Calibri" w:cs="Calibri"/>
        </w:rPr>
        <w:t>This hierarchy is what controls double counting. A semiconductor factor naturally contains market, technology, growth, and possibly country effects. After purification, the semiconductor beta is intended to represent the incremental part that is not already explained by the earlier layers.</w:t>
      </w:r>
    </w:p>
    <w:p w14:paraId="2DB8F1D8">
      <w:pPr>
        <w:pStyle w:val="3"/>
        <w:keepLines/>
        <w:rPr>
          <w:rFonts w:hint="default" w:ascii="Calibri" w:hAnsi="Calibri" w:cs="Calibri"/>
        </w:rPr>
      </w:pPr>
      <w:r>
        <w:rPr>
          <w:rFonts w:hint="default" w:ascii="Calibri" w:hAnsi="Calibri" w:cs="Calibri"/>
        </w:rPr>
        <w:t>5.3 Timing and proxy quality</w:t>
      </w:r>
    </w:p>
    <w:p w14:paraId="652144E0">
      <w:pPr>
        <w:keepLines/>
        <w:spacing w:after="90" w:line="254" w:lineRule="auto"/>
        <w:rPr>
          <w:rFonts w:hint="default" w:ascii="Calibri" w:hAnsi="Calibri" w:cs="Calibri"/>
        </w:rPr>
      </w:pPr>
      <w:r>
        <w:rPr>
          <w:rFonts w:hint="default" w:ascii="Calibri" w:hAnsi="Calibri" w:cs="Calibri"/>
        </w:rPr>
        <w:t>Factor purification uses rolling weekly regressions and then scales most factors to a 10% annual-volatility target using prior realized volatility. The core definitions are:</w:t>
      </w:r>
    </w:p>
    <w:p w14:paraId="4F5B84CC">
      <w:pPr>
        <w:spacing w:before="40" w:after="80"/>
        <w:jc w:val="center"/>
        <w:rPr>
          <w:rFonts w:hint="default" w:ascii="Calibri" w:hAnsi="Calibri" w:cs="Calibri"/>
        </w:rPr>
      </w:pPr>
      <w:r>
        <w:rPr>
          <w:rFonts w:hint="default" w:ascii="Calibri" w:hAnsi="Calibri" w:cs="Calibri"/>
        </w:rPr>
        <w:drawing>
          <wp:inline distT="0" distB="0" distL="114300" distR="114300">
            <wp:extent cx="4343400" cy="1152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343400" cy="1152751"/>
                    </a:xfrm>
                    <a:prstGeom prst="rect">
                      <a:avLst/>
                    </a:prstGeom>
                  </pic:spPr>
                </pic:pic>
              </a:graphicData>
            </a:graphic>
          </wp:inline>
        </w:drawing>
      </w:r>
    </w:p>
    <w:p w14:paraId="106645CA">
      <w:pPr>
        <w:spacing w:before="0" w:after="80" w:line="240" w:lineRule="auto"/>
        <w:jc w:val="center"/>
        <w:rPr>
          <w:rFonts w:hint="default" w:ascii="Calibri" w:hAnsi="Calibri" w:cs="Calibri"/>
        </w:rPr>
      </w:pPr>
      <w:r>
        <w:rPr>
          <w:rFonts w:hint="default" w:ascii="Calibri" w:hAnsi="Calibri" w:cs="Calibri"/>
          <w:i/>
          <w:sz w:val="18"/>
        </w:rPr>
        <w:t>Daily return, weekly compounding, and purified return.</w:t>
      </w:r>
    </w:p>
    <w:p w14:paraId="66BB332E">
      <w:pPr>
        <w:spacing w:after="90" w:line="254" w:lineRule="auto"/>
        <w:rPr>
          <w:rFonts w:hint="default" w:ascii="Calibri" w:hAnsi="Calibri" w:cs="Calibri"/>
        </w:rPr>
      </w:pPr>
      <w:r>
        <w:rPr>
          <w:rFonts w:hint="default" w:ascii="Calibri" w:hAnsi="Calibri" w:cs="Calibri"/>
        </w:rPr>
        <w:t>In words: I convert adjusted prices into daily returns, compound them into weekly returns for the hedge regression, and then remove the estimated exposure to the preceding factor stack to isolate the incremental return stream.</w:t>
      </w:r>
    </w:p>
    <w:tbl>
      <w:tblPr>
        <w:tblStyle w:val="12"/>
        <w:tblW w:w="0" w:type="auto"/>
        <w:jc w:val="center"/>
        <w:tblLayout w:type="fixed"/>
        <w:tblCellMar>
          <w:top w:w="0" w:type="dxa"/>
          <w:left w:w="108" w:type="dxa"/>
          <w:bottom w:w="0" w:type="dxa"/>
          <w:right w:w="108" w:type="dxa"/>
        </w:tblCellMar>
      </w:tblPr>
      <w:tblGrid>
        <w:gridCol w:w="3427"/>
        <w:gridCol w:w="3427"/>
        <w:gridCol w:w="3427"/>
      </w:tblGrid>
      <w:tr w14:paraId="49F50916">
        <w:tblPrEx>
          <w:tblCellMar>
            <w:top w:w="0" w:type="dxa"/>
            <w:left w:w="108" w:type="dxa"/>
            <w:bottom w:w="0" w:type="dxa"/>
            <w:right w:w="108" w:type="dxa"/>
          </w:tblCellMar>
        </w:tblPrEx>
        <w:trPr>
          <w:cantSplit/>
          <w:tblHeader/>
          <w:jc w:val="center"/>
        </w:trPr>
        <w:tc>
          <w:tcPr>
            <w:tcW w:w="3960"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6D5587AE">
            <w:pPr>
              <w:spacing w:before="0" w:after="0" w:line="240" w:lineRule="auto"/>
              <w:rPr>
                <w:rFonts w:hint="default" w:ascii="Calibri" w:hAnsi="Calibri" w:cs="Calibri"/>
              </w:rPr>
            </w:pPr>
            <w:r>
              <w:rPr>
                <w:rFonts w:hint="default" w:ascii="Calibri" w:hAnsi="Calibri" w:cs="Calibri"/>
                <w:b/>
                <w:color w:val="FFFFFF"/>
                <w:sz w:val="17"/>
              </w:rPr>
              <w:t>Factor family</w:t>
            </w:r>
          </w:p>
        </w:tc>
        <w:tc>
          <w:tcPr>
            <w:tcW w:w="1944"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7196F56D">
            <w:pPr>
              <w:spacing w:before="0" w:after="0" w:line="240" w:lineRule="auto"/>
              <w:rPr>
                <w:rFonts w:hint="default" w:ascii="Calibri" w:hAnsi="Calibri" w:cs="Calibri"/>
              </w:rPr>
            </w:pPr>
            <w:r>
              <w:rPr>
                <w:rFonts w:hint="default" w:ascii="Calibri" w:hAnsi="Calibri" w:cs="Calibri"/>
                <w:b/>
                <w:color w:val="FFFFFF"/>
                <w:sz w:val="17"/>
              </w:rPr>
              <w:t>Proxy quality</w:t>
            </w:r>
          </w:p>
        </w:tc>
        <w:tc>
          <w:tcPr>
            <w:tcW w:w="3888"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465FCBF9">
            <w:pPr>
              <w:spacing w:before="0" w:after="0" w:line="240" w:lineRule="auto"/>
              <w:rPr>
                <w:rFonts w:hint="default" w:ascii="Calibri" w:hAnsi="Calibri" w:cs="Calibri"/>
              </w:rPr>
            </w:pPr>
            <w:r>
              <w:rPr>
                <w:rFonts w:hint="default" w:ascii="Calibri" w:hAnsi="Calibri" w:cs="Calibri"/>
                <w:b/>
                <w:color w:val="FFFFFF"/>
                <w:sz w:val="17"/>
              </w:rPr>
              <w:t>Interpretation</w:t>
            </w:r>
          </w:p>
        </w:tc>
      </w:tr>
      <w:tr w14:paraId="09226E1B">
        <w:tblPrEx>
          <w:tblCellMar>
            <w:top w:w="0" w:type="dxa"/>
            <w:left w:w="108" w:type="dxa"/>
            <w:bottom w:w="0" w:type="dxa"/>
            <w:right w:w="108" w:type="dxa"/>
          </w:tblCellMar>
        </w:tblPrEx>
        <w:trPr>
          <w:cantSplit/>
          <w:jc w:val="center"/>
        </w:trPr>
        <w:tc>
          <w:tcPr>
            <w:tcW w:w="3960"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7F4070C3">
            <w:pPr>
              <w:spacing w:before="0" w:after="0" w:line="240" w:lineRule="auto"/>
              <w:rPr>
                <w:rFonts w:hint="default" w:ascii="Calibri" w:hAnsi="Calibri" w:cs="Calibri"/>
              </w:rPr>
            </w:pPr>
            <w:r>
              <w:rPr>
                <w:rFonts w:hint="default" w:ascii="Calibri" w:hAnsi="Calibri" w:cs="Calibri"/>
                <w:color w:val="1F2937"/>
                <w:sz w:val="17"/>
              </w:rPr>
              <w:t>Market, macro, Value, Quality, Growth, DividendYield</w:t>
            </w:r>
          </w:p>
        </w:tc>
        <w:tc>
          <w:tcPr>
            <w:tcW w:w="1944"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0AEBCD97">
            <w:pPr>
              <w:spacing w:before="0" w:after="0" w:line="240" w:lineRule="auto"/>
              <w:rPr>
                <w:rFonts w:hint="default" w:ascii="Calibri" w:hAnsi="Calibri" w:cs="Calibri"/>
              </w:rPr>
            </w:pPr>
            <w:r>
              <w:rPr>
                <w:rFonts w:hint="default" w:ascii="Calibri" w:hAnsi="Calibri" w:cs="Calibri"/>
                <w:color w:val="1F2937"/>
                <w:sz w:val="17"/>
              </w:rPr>
              <w:t>Strongest</w:t>
            </w:r>
          </w:p>
        </w:tc>
        <w:tc>
          <w:tcPr>
            <w:tcW w:w="3888"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27973ACD">
            <w:pPr>
              <w:spacing w:before="0" w:after="0" w:line="240" w:lineRule="auto"/>
              <w:rPr>
                <w:rFonts w:hint="default" w:ascii="Calibri" w:hAnsi="Calibri" w:cs="Calibri"/>
              </w:rPr>
            </w:pPr>
            <w:r>
              <w:rPr>
                <w:rFonts w:hint="default" w:ascii="Calibri" w:hAnsi="Calibri" w:cs="Calibri"/>
                <w:color w:val="1F2937"/>
                <w:sz w:val="17"/>
              </w:rPr>
              <w:t>Direct instrument or exact ETF recipes</w:t>
            </w:r>
          </w:p>
        </w:tc>
      </w:tr>
      <w:tr w14:paraId="6B61D22F">
        <w:tblPrEx>
          <w:tblCellMar>
            <w:top w:w="0" w:type="dxa"/>
            <w:left w:w="108" w:type="dxa"/>
            <w:bottom w:w="0" w:type="dxa"/>
            <w:right w:w="108" w:type="dxa"/>
          </w:tblCellMar>
        </w:tblPrEx>
        <w:trPr>
          <w:cantSplit/>
          <w:jc w:val="center"/>
        </w:trPr>
        <w:tc>
          <w:tcPr>
            <w:tcW w:w="3960"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05169367">
            <w:pPr>
              <w:spacing w:before="0" w:after="0" w:line="240" w:lineRule="auto"/>
              <w:rPr>
                <w:rFonts w:hint="default" w:ascii="Calibri" w:hAnsi="Calibri" w:cs="Calibri"/>
              </w:rPr>
            </w:pPr>
            <w:r>
              <w:rPr>
                <w:rFonts w:hint="default" w:ascii="Calibri" w:hAnsi="Calibri" w:cs="Calibri"/>
                <w:color w:val="1F2937"/>
                <w:sz w:val="17"/>
              </w:rPr>
              <w:t>SmallSize</w:t>
            </w:r>
          </w:p>
        </w:tc>
        <w:tc>
          <w:tcPr>
            <w:tcW w:w="1944"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20154E19">
            <w:pPr>
              <w:spacing w:before="0" w:after="0" w:line="240" w:lineRule="auto"/>
              <w:rPr>
                <w:rFonts w:hint="default" w:ascii="Calibri" w:hAnsi="Calibri" w:cs="Calibri"/>
              </w:rPr>
            </w:pPr>
            <w:r>
              <w:rPr>
                <w:rFonts w:hint="default" w:ascii="Calibri" w:hAnsi="Calibri" w:cs="Calibri"/>
                <w:color w:val="1F2937"/>
                <w:sz w:val="17"/>
              </w:rPr>
              <w:t>Moderate</w:t>
            </w:r>
          </w:p>
        </w:tc>
        <w:tc>
          <w:tcPr>
            <w:tcW w:w="3888"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79F5CA37">
            <w:pPr>
              <w:spacing w:before="0" w:after="0" w:line="240" w:lineRule="auto"/>
              <w:rPr>
                <w:rFonts w:hint="default" w:ascii="Calibri" w:hAnsi="Calibri" w:cs="Calibri"/>
              </w:rPr>
            </w:pPr>
            <w:r>
              <w:rPr>
                <w:rFonts w:hint="default" w:ascii="Calibri" w:hAnsi="Calibri" w:cs="Calibri"/>
                <w:color w:val="1F2937"/>
                <w:sz w:val="17"/>
              </w:rPr>
              <w:t>Index proxy for a size characteristic</w:t>
            </w:r>
          </w:p>
        </w:tc>
      </w:tr>
      <w:tr w14:paraId="5C030F3A">
        <w:tblPrEx>
          <w:tblCellMar>
            <w:top w:w="0" w:type="dxa"/>
            <w:left w:w="108" w:type="dxa"/>
            <w:bottom w:w="0" w:type="dxa"/>
            <w:right w:w="108" w:type="dxa"/>
          </w:tblCellMar>
        </w:tblPrEx>
        <w:trPr>
          <w:cantSplit/>
          <w:jc w:val="center"/>
        </w:trPr>
        <w:tc>
          <w:tcPr>
            <w:tcW w:w="3960"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174B08EC">
            <w:pPr>
              <w:spacing w:before="0" w:after="0" w:line="240" w:lineRule="auto"/>
              <w:rPr>
                <w:rFonts w:hint="default" w:ascii="Calibri" w:hAnsi="Calibri" w:cs="Calibri"/>
              </w:rPr>
            </w:pPr>
            <w:r>
              <w:rPr>
                <w:rFonts w:hint="default" w:ascii="Calibri" w:hAnsi="Calibri" w:cs="Calibri"/>
                <w:color w:val="1F2937"/>
                <w:sz w:val="17"/>
              </w:rPr>
              <w:t>Momentum, BetaFactor</w:t>
            </w:r>
          </w:p>
        </w:tc>
        <w:tc>
          <w:tcPr>
            <w:tcW w:w="1944"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42F01C48">
            <w:pPr>
              <w:spacing w:before="0" w:after="0" w:line="240" w:lineRule="auto"/>
              <w:rPr>
                <w:rFonts w:hint="default" w:ascii="Calibri" w:hAnsi="Calibri" w:cs="Calibri"/>
              </w:rPr>
            </w:pPr>
            <w:r>
              <w:rPr>
                <w:rFonts w:hint="default" w:ascii="Calibri" w:hAnsi="Calibri" w:cs="Calibri"/>
                <w:color w:val="1F2937"/>
                <w:sz w:val="17"/>
              </w:rPr>
              <w:t>Loose</w:t>
            </w:r>
          </w:p>
        </w:tc>
        <w:tc>
          <w:tcPr>
            <w:tcW w:w="3888"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344354DB">
            <w:pPr>
              <w:spacing w:before="0" w:after="0" w:line="240" w:lineRule="auto"/>
              <w:rPr>
                <w:rFonts w:hint="default" w:ascii="Calibri" w:hAnsi="Calibri" w:cs="Calibri"/>
              </w:rPr>
            </w:pPr>
            <w:r>
              <w:rPr>
                <w:rFonts w:hint="default" w:ascii="Calibri" w:hAnsi="Calibri" w:cs="Calibri"/>
                <w:color w:val="1F2937"/>
                <w:sz w:val="17"/>
              </w:rPr>
              <w:t>Scheduled ETF reconstitution rather than continuous stock re-ranking</w:t>
            </w:r>
          </w:p>
        </w:tc>
      </w:tr>
      <w:tr w14:paraId="5449CBBB">
        <w:tblPrEx>
          <w:tblCellMar>
            <w:top w:w="0" w:type="dxa"/>
            <w:left w:w="108" w:type="dxa"/>
            <w:bottom w:w="0" w:type="dxa"/>
            <w:right w:w="108" w:type="dxa"/>
          </w:tblCellMar>
        </w:tblPrEx>
        <w:trPr>
          <w:cantSplit/>
          <w:jc w:val="center"/>
        </w:trPr>
        <w:tc>
          <w:tcPr>
            <w:tcW w:w="3960"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5A46EB18">
            <w:pPr>
              <w:spacing w:before="0" w:after="0" w:line="240" w:lineRule="auto"/>
              <w:rPr>
                <w:rFonts w:hint="default" w:ascii="Calibri" w:hAnsi="Calibri" w:cs="Calibri"/>
              </w:rPr>
            </w:pPr>
            <w:r>
              <w:rPr>
                <w:rFonts w:hint="default" w:ascii="Calibri" w:hAnsi="Calibri" w:cs="Calibri"/>
                <w:color w:val="1F2937"/>
                <w:sz w:val="17"/>
              </w:rPr>
              <w:t>Liquidity</w:t>
            </w:r>
          </w:p>
        </w:tc>
        <w:tc>
          <w:tcPr>
            <w:tcW w:w="1944"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160729EA">
            <w:pPr>
              <w:spacing w:before="0" w:after="0" w:line="240" w:lineRule="auto"/>
              <w:rPr>
                <w:rFonts w:hint="default" w:ascii="Calibri" w:hAnsi="Calibri" w:cs="Calibri"/>
              </w:rPr>
            </w:pPr>
            <w:r>
              <w:rPr>
                <w:rFonts w:hint="default" w:ascii="Calibri" w:hAnsi="Calibri" w:cs="Calibri"/>
                <w:color w:val="1F2937"/>
                <w:sz w:val="17"/>
              </w:rPr>
              <w:t>Weak</w:t>
            </w:r>
          </w:p>
        </w:tc>
        <w:tc>
          <w:tcPr>
            <w:tcW w:w="3888"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3009952B">
            <w:pPr>
              <w:spacing w:before="0" w:after="0" w:line="240" w:lineRule="auto"/>
              <w:rPr>
                <w:rFonts w:hint="default" w:ascii="Calibri" w:hAnsi="Calibri" w:cs="Calibri"/>
              </w:rPr>
            </w:pPr>
            <w:r>
              <w:rPr>
                <w:rFonts w:hint="default" w:ascii="Calibri" w:hAnsi="Calibri" w:cs="Calibri"/>
                <w:color w:val="1F2937"/>
                <w:sz w:val="17"/>
              </w:rPr>
              <w:t>No clean ETF analogue for stock-level Amihud price impact</w:t>
            </w:r>
          </w:p>
        </w:tc>
      </w:tr>
      <w:tr w14:paraId="283E5FE9">
        <w:tblPrEx>
          <w:tblCellMar>
            <w:top w:w="0" w:type="dxa"/>
            <w:left w:w="108" w:type="dxa"/>
            <w:bottom w:w="0" w:type="dxa"/>
            <w:right w:w="108" w:type="dxa"/>
          </w:tblCellMar>
        </w:tblPrEx>
        <w:trPr>
          <w:cantSplit/>
          <w:jc w:val="center"/>
        </w:trPr>
        <w:tc>
          <w:tcPr>
            <w:tcW w:w="3960"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50F57E20">
            <w:pPr>
              <w:spacing w:before="0" w:after="0" w:line="240" w:lineRule="auto"/>
              <w:rPr>
                <w:rFonts w:hint="default" w:ascii="Calibri" w:hAnsi="Calibri" w:cs="Calibri"/>
              </w:rPr>
            </w:pPr>
            <w:r>
              <w:rPr>
                <w:rFonts w:hint="default" w:ascii="Calibri" w:hAnsi="Calibri" w:cs="Calibri"/>
                <w:color w:val="1F2937"/>
                <w:sz w:val="17"/>
              </w:rPr>
              <w:t>Countries + fixed themes</w:t>
            </w:r>
          </w:p>
        </w:tc>
        <w:tc>
          <w:tcPr>
            <w:tcW w:w="1944"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214E569D">
            <w:pPr>
              <w:spacing w:before="0" w:after="0" w:line="240" w:lineRule="auto"/>
              <w:rPr>
                <w:rFonts w:hint="default" w:ascii="Calibri" w:hAnsi="Calibri" w:cs="Calibri"/>
              </w:rPr>
            </w:pPr>
            <w:r>
              <w:rPr>
                <w:rFonts w:hint="default" w:ascii="Calibri" w:hAnsi="Calibri" w:cs="Calibri"/>
                <w:color w:val="1F2937"/>
                <w:sz w:val="17"/>
              </w:rPr>
              <w:t>Structural basis risk</w:t>
            </w:r>
          </w:p>
        </w:tc>
        <w:tc>
          <w:tcPr>
            <w:tcW w:w="3888"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538BEA1B">
            <w:pPr>
              <w:spacing w:before="0" w:after="0" w:line="240" w:lineRule="auto"/>
              <w:rPr>
                <w:rFonts w:hint="default" w:ascii="Calibri" w:hAnsi="Calibri" w:cs="Calibri"/>
              </w:rPr>
            </w:pPr>
            <w:r>
              <w:rPr>
                <w:rFonts w:hint="default" w:ascii="Calibri" w:hAnsi="Calibri" w:cs="Calibri"/>
                <w:color w:val="1F2937"/>
                <w:sz w:val="17"/>
              </w:rPr>
              <w:t>Useful for research, but exposed to basis, hindsight, and survivorship risk</w:t>
            </w:r>
          </w:p>
        </w:tc>
      </w:tr>
    </w:tbl>
    <w:p w14:paraId="0017072A">
      <w:pPr>
        <w:pStyle w:val="2"/>
        <w:keepLines/>
        <w:rPr>
          <w:rFonts w:hint="default" w:ascii="Calibri" w:hAnsi="Calibri" w:cs="Calibri"/>
        </w:rPr>
      </w:pPr>
      <w:r>
        <w:rPr>
          <w:rFonts w:hint="default" w:ascii="Calibri" w:hAnsi="Calibri" w:cs="Calibri"/>
        </w:rPr>
        <w:t>6. Stock exposure model</w:t>
      </w:r>
    </w:p>
    <w:p w14:paraId="2C79B0B9">
      <w:pPr>
        <w:keepLines/>
        <w:spacing w:after="90" w:line="254" w:lineRule="auto"/>
        <w:rPr>
          <w:rFonts w:hint="default" w:ascii="Calibri" w:hAnsi="Calibri" w:cs="Calibri"/>
        </w:rPr>
      </w:pPr>
      <w:r>
        <w:rPr>
          <w:rFonts w:hint="default" w:ascii="Calibri" w:hAnsi="Calibri" w:cs="Calibri"/>
        </w:rPr>
        <w:t>Factor construction and stock decomposition are separate regressions. At each month-end, QuantLab estimates conditional stock betas against the selected factor catalog.</w:t>
      </w:r>
    </w:p>
    <w:p w14:paraId="1DD879FC">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Trailing window: normally 756 daily observations; minimum 126 complete observations.</w:t>
      </w:r>
    </w:p>
    <w:p w14:paraId="2260A1D8">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Candidate factors are standardized and selected with ElasticNetCV to control instability and redundancy.</w:t>
      </w:r>
    </w:p>
    <w:p w14:paraId="29403B9B">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Selected factors are refit in original units with OLS; inference uses Newey-West / HAC standard errors with five lags.</w:t>
      </w:r>
    </w:p>
    <w:p w14:paraId="01CB1B58">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The fit stores alpha, adjusted R-squared, residual volatility, selected factors, and the full candidate exposure set.</w:t>
      </w:r>
    </w:p>
    <w:p w14:paraId="36406A08">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Four nested model levels allow the same stock to be viewed from broad Base risk through All Factors + Themes.</w:t>
      </w:r>
    </w:p>
    <w:p w14:paraId="46AB8F1B">
      <w:pPr>
        <w:keepLines/>
        <w:spacing w:after="90" w:line="254" w:lineRule="auto"/>
        <w:rPr>
          <w:rFonts w:hint="default" w:ascii="Calibri" w:hAnsi="Calibri" w:cs="Calibri"/>
        </w:rPr>
      </w:pPr>
      <w:r>
        <w:rPr>
          <w:rFonts w:hint="default" w:ascii="Calibri" w:hAnsi="Calibri" w:cs="Calibri"/>
        </w:rPr>
        <w:t>ElasticNet is used for selection, not for final interpretation. With 15-56 correlated factor candidates, fitting everything can produce unstable coefficients. The OLS/HAC refit gives readable betas and robust standard errors, while preserving the selected conditional model.</w:t>
      </w:r>
    </w:p>
    <w:tbl>
      <w:tblPr>
        <w:tblStyle w:val="12"/>
        <w:tblW w:w="0" w:type="auto"/>
        <w:jc w:val="center"/>
        <w:tblLayout w:type="fixed"/>
        <w:tblCellMar>
          <w:top w:w="0" w:type="dxa"/>
          <w:left w:w="108" w:type="dxa"/>
          <w:bottom w:w="0" w:type="dxa"/>
          <w:right w:w="108" w:type="dxa"/>
        </w:tblCellMar>
      </w:tblPr>
      <w:tblGrid>
        <w:gridCol w:w="9792"/>
      </w:tblGrid>
      <w:tr w14:paraId="0CB0594A">
        <w:tblPrEx>
          <w:tblCellMar>
            <w:top w:w="0" w:type="dxa"/>
            <w:left w:w="108" w:type="dxa"/>
            <w:bottom w:w="0" w:type="dxa"/>
            <w:right w:w="108" w:type="dxa"/>
          </w:tblCellMar>
        </w:tblPrEx>
        <w:trPr>
          <w:jc w:val="center"/>
        </w:trPr>
        <w:tc>
          <w:tcPr>
            <w:tcW w:w="10282" w:type="dxa"/>
            <w:tcBorders>
              <w:top w:val="nil"/>
              <w:left w:val="single" w:color="2F5597" w:sz="18" w:space="0"/>
              <w:bottom w:val="nil"/>
              <w:right w:val="nil"/>
            </w:tcBorders>
            <w:shd w:val="clear" w:color="auto" w:fill="EAF0F8"/>
            <w:tcMar>
              <w:top w:w="95" w:type="dxa"/>
              <w:left w:w="120" w:type="dxa"/>
              <w:bottom w:w="95" w:type="dxa"/>
              <w:right w:w="120" w:type="dxa"/>
            </w:tcMar>
          </w:tcPr>
          <w:p w14:paraId="073E9448">
            <w:pPr>
              <w:spacing w:after="0" w:line="252" w:lineRule="auto"/>
              <w:rPr>
                <w:rFonts w:hint="default" w:ascii="Calibri" w:hAnsi="Calibri" w:cs="Calibri"/>
              </w:rPr>
            </w:pPr>
            <w:r>
              <w:rPr>
                <w:rFonts w:hint="default" w:ascii="Calibri" w:hAnsi="Calibri" w:cs="Calibri"/>
                <w:b/>
                <w:i w:val="0"/>
                <w:color w:val="17365D"/>
              </w:rPr>
              <w:t>Interpretation discipline: beta is conditional sensitivity, not causality. Alpha can be omitted systematic exposure, and a missing fit is not the same thing as a reliable zero beta.</w:t>
            </w:r>
          </w:p>
        </w:tc>
      </w:tr>
    </w:tbl>
    <w:p w14:paraId="52D8D69D">
      <w:pPr>
        <w:pStyle w:val="2"/>
        <w:keepLines/>
        <w:rPr>
          <w:rFonts w:hint="default" w:ascii="Calibri" w:hAnsi="Calibri" w:cs="Calibri"/>
        </w:rPr>
      </w:pPr>
      <w:r>
        <w:rPr>
          <w:rFonts w:hint="default" w:ascii="Calibri" w:hAnsi="Calibri" w:cs="Calibri"/>
        </w:rPr>
        <w:t>7. Signals and stock selection</w:t>
      </w:r>
    </w:p>
    <w:p w14:paraId="6F3F2785">
      <w:pPr>
        <w:pStyle w:val="3"/>
        <w:keepLines/>
        <w:rPr>
          <w:rFonts w:hint="default" w:ascii="Calibri" w:hAnsi="Calibri" w:cs="Calibri"/>
        </w:rPr>
      </w:pPr>
      <w:r>
        <w:rPr>
          <w:rFonts w:hint="default" w:ascii="Calibri" w:hAnsi="Calibri" w:cs="Calibri"/>
        </w:rPr>
        <w:t>7.1 Single-factor signals</w:t>
      </w:r>
    </w:p>
    <w:p w14:paraId="4A958651">
      <w:pPr>
        <w:keepLines/>
        <w:spacing w:after="90" w:line="254" w:lineRule="auto"/>
        <w:rPr>
          <w:rFonts w:hint="default" w:ascii="Calibri" w:hAnsi="Calibri" w:cs="Calibri"/>
        </w:rPr>
      </w:pPr>
      <w:r>
        <w:rPr>
          <w:rFonts w:hint="default" w:ascii="Calibri" w:hAnsi="Calibri" w:cs="Calibri"/>
        </w:rPr>
        <w:t>The Signals view is a cross-sectional read of one stored factor beta. It answers a descriptive question: which stocks currently have the highest or lowest estimated exposure? It does not by itself establish that high exposure will outperform.</w:t>
      </w:r>
    </w:p>
    <w:p w14:paraId="245F0C08">
      <w:pPr>
        <w:pStyle w:val="3"/>
        <w:keepLines/>
        <w:rPr>
          <w:rFonts w:hint="default" w:ascii="Calibri" w:hAnsi="Calibri" w:cs="Calibri"/>
        </w:rPr>
      </w:pPr>
      <w:r>
        <w:rPr>
          <w:rFonts w:hint="default" w:ascii="Calibri" w:hAnsi="Calibri" w:cs="Calibri"/>
        </w:rPr>
        <w:t>7.2 Multi-factor score</w:t>
      </w:r>
    </w:p>
    <w:p w14:paraId="65E721D0">
      <w:pPr>
        <w:keepLines/>
        <w:spacing w:after="90" w:line="254" w:lineRule="auto"/>
        <w:rPr>
          <w:rFonts w:hint="default" w:ascii="Calibri" w:hAnsi="Calibri" w:cs="Calibri"/>
        </w:rPr>
      </w:pPr>
      <w:r>
        <w:rPr>
          <w:rFonts w:hint="default" w:ascii="Calibri" w:hAnsi="Calibri" w:cs="Calibri"/>
        </w:rPr>
        <w:t>Stock Selection is the step that converts a factor view into an investable ranking. For each selected factor, the stock beta is standardized cross-sectionally, signed by the desired direction, and combined using positive relative weights.</w:t>
      </w:r>
    </w:p>
    <w:p w14:paraId="1C8A44D4">
      <w:pPr>
        <w:spacing w:after="60"/>
        <w:rPr>
          <w:rFonts w:hint="default" w:ascii="Calibri" w:hAnsi="Calibri" w:cs="Calibri"/>
        </w:rPr>
      </w:pPr>
      <w:r>
        <w:rPr>
          <w:rFonts w:hint="default" w:ascii="Calibri" w:hAnsi="Calibri" w:cs="Calibri"/>
        </w:rPr>
        <w:t>I write the stock-selection score compactly as:</w:t>
      </w:r>
    </w:p>
    <w:p w14:paraId="79EC3A73">
      <w:pPr>
        <w:spacing w:before="40" w:after="80"/>
        <w:jc w:val="center"/>
        <w:rPr>
          <w:rFonts w:hint="default" w:ascii="Calibri" w:hAnsi="Calibri" w:cs="Calibri"/>
        </w:rPr>
      </w:pPr>
      <w:r>
        <w:rPr>
          <w:rFonts w:hint="default" w:ascii="Calibri" w:hAnsi="Calibri" w:cs="Calibri"/>
        </w:rPr>
        <w:drawing>
          <wp:inline distT="0" distB="0" distL="114300" distR="114300">
            <wp:extent cx="4800600" cy="648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800600" cy="648422"/>
                    </a:xfrm>
                    <a:prstGeom prst="rect">
                      <a:avLst/>
                    </a:prstGeom>
                  </pic:spPr>
                </pic:pic>
              </a:graphicData>
            </a:graphic>
          </wp:inline>
        </w:drawing>
      </w:r>
    </w:p>
    <w:p w14:paraId="61F27FB6">
      <w:pPr>
        <w:spacing w:after="90" w:line="254" w:lineRule="auto"/>
        <w:rPr>
          <w:rFonts w:hint="default" w:ascii="Calibri" w:hAnsi="Calibri" w:cs="Calibri"/>
        </w:rPr>
      </w:pPr>
      <w:r>
        <w:rPr>
          <w:rFonts w:hint="default" w:ascii="Calibri" w:hAnsi="Calibri" w:cs="Calibri"/>
        </w:rPr>
        <w:t>Here, βᵢ,ₖ is stock i's estimated loading on factor k, z(·) is the cross-sectional standardization, dₖ is the desired direction (+1 or -1), and ωₖ is the relative factor weight. This keeps the formula explicit without making the workflow feel overly technical.</w:t>
      </w:r>
    </w:p>
    <w:p w14:paraId="35C695FB">
      <w:pPr>
        <w:pStyle w:val="165"/>
        <w:keepLines/>
        <w:spacing w:after="44" w:line="250" w:lineRule="auto"/>
        <w:ind w:left="288" w:hanging="230"/>
        <w:rPr>
          <w:rFonts w:hint="default" w:ascii="Calibri" w:hAnsi="Calibri" w:cs="Calibri"/>
        </w:rPr>
      </w:pPr>
      <w:r>
        <w:rPr>
          <w:rFonts w:hint="default" w:ascii="Calibri" w:hAnsi="Calibri" w:cs="Calibri"/>
          <w:b/>
        </w:rPr>
        <w:t xml:space="preserve">1. </w:t>
      </w:r>
      <w:r>
        <w:rPr>
          <w:rFonts w:hint="default" w:ascii="Calibri" w:hAnsi="Calibri" w:cs="Calibri"/>
        </w:rPr>
        <w:t>Choose the canonical model dataset and model level.</w:t>
      </w:r>
    </w:p>
    <w:p w14:paraId="2B57ABB9">
      <w:pPr>
        <w:pStyle w:val="165"/>
        <w:keepLines/>
        <w:spacing w:after="44" w:line="250" w:lineRule="auto"/>
        <w:ind w:left="288" w:hanging="230"/>
        <w:rPr>
          <w:rFonts w:hint="default" w:ascii="Calibri" w:hAnsi="Calibri" w:cs="Calibri"/>
        </w:rPr>
      </w:pPr>
      <w:r>
        <w:rPr>
          <w:rFonts w:hint="default" w:ascii="Calibri" w:hAnsi="Calibri" w:cs="Calibri"/>
          <w:b/>
        </w:rPr>
        <w:t xml:space="preserve">2. </w:t>
      </w:r>
      <w:r>
        <w:rPr>
          <w:rFonts w:hint="default" w:ascii="Calibri" w:hAnsi="Calibri" w:cs="Calibri"/>
        </w:rPr>
        <w:t>Set factors, preferred direction, and relative importance using information available at the signal date.</w:t>
      </w:r>
    </w:p>
    <w:p w14:paraId="1EE14ED9">
      <w:pPr>
        <w:pStyle w:val="165"/>
        <w:keepLines/>
        <w:spacing w:after="44" w:line="250" w:lineRule="auto"/>
        <w:ind w:left="288" w:hanging="230"/>
        <w:rPr>
          <w:rFonts w:hint="default" w:ascii="Calibri" w:hAnsi="Calibri" w:cs="Calibri"/>
        </w:rPr>
      </w:pPr>
      <w:r>
        <w:rPr>
          <w:rFonts w:hint="default" w:ascii="Calibri" w:hAnsi="Calibri" w:cs="Calibri"/>
          <w:b/>
        </w:rPr>
        <w:t xml:space="preserve">3. </w:t>
      </w:r>
      <w:r>
        <w:rPr>
          <w:rFonts w:hint="default" w:ascii="Calibri" w:hAnsi="Calibri" w:cs="Calibri"/>
        </w:rPr>
        <w:t>Standardize each beta across the eligible universe and combine the components.</w:t>
      </w:r>
    </w:p>
    <w:p w14:paraId="5ED33A70">
      <w:pPr>
        <w:pStyle w:val="165"/>
        <w:keepLines/>
        <w:spacing w:after="44" w:line="250" w:lineRule="auto"/>
        <w:ind w:left="288" w:hanging="230"/>
        <w:rPr>
          <w:rFonts w:hint="default" w:ascii="Calibri" w:hAnsi="Calibri" w:cs="Calibri"/>
        </w:rPr>
      </w:pPr>
      <w:r>
        <w:rPr>
          <w:rFonts w:hint="default" w:ascii="Calibri" w:hAnsi="Calibri" w:cs="Calibri"/>
          <w:b/>
        </w:rPr>
        <w:t xml:space="preserve">4. </w:t>
      </w:r>
      <w:r>
        <w:rPr>
          <w:rFonts w:hint="default" w:ascii="Calibri" w:hAnsi="Calibri" w:cs="Calibri"/>
        </w:rPr>
        <w:t>Apply coverage, fit-quality, sector, exclusion, and investability rules.</w:t>
      </w:r>
    </w:p>
    <w:p w14:paraId="638AA822">
      <w:pPr>
        <w:pStyle w:val="165"/>
        <w:keepLines/>
        <w:spacing w:after="44" w:line="250" w:lineRule="auto"/>
        <w:ind w:left="288" w:hanging="230"/>
        <w:rPr>
          <w:rFonts w:hint="default" w:ascii="Calibri" w:hAnsi="Calibri" w:cs="Calibri"/>
        </w:rPr>
      </w:pPr>
      <w:r>
        <w:rPr>
          <w:rFonts w:hint="default" w:ascii="Calibri" w:hAnsi="Calibri" w:cs="Calibri"/>
          <w:b/>
        </w:rPr>
        <w:t xml:space="preserve">5. </w:t>
      </w:r>
      <w:r>
        <w:rPr>
          <w:rFonts w:hint="default" w:ascii="Calibri" w:hAnsi="Calibri" w:cs="Calibri"/>
        </w:rPr>
        <w:t>Take the top N names and create an equal-weight portfolio as the clean selection baseline.</w:t>
      </w:r>
    </w:p>
    <w:p w14:paraId="273A50C4">
      <w:pPr>
        <w:keepLines/>
        <w:spacing w:after="90" w:line="254" w:lineRule="auto"/>
        <w:rPr>
          <w:rFonts w:hint="default" w:ascii="Calibri" w:hAnsi="Calibri" w:cs="Calibri"/>
        </w:rPr>
      </w:pPr>
      <w:r>
        <w:rPr>
          <w:rFonts w:hint="default" w:ascii="Calibri" w:hAnsi="Calibri" w:cs="Calibri"/>
        </w:rPr>
        <w:t>A production version should also support within-sector scoring or explicit sector-neutral selection when the objective is to isolate stock-level exposure instead of making an unintended sector allocation.</w:t>
      </w:r>
    </w:p>
    <w:p w14:paraId="4961FA57">
      <w:pPr>
        <w:pStyle w:val="3"/>
        <w:keepLines/>
        <w:rPr>
          <w:rFonts w:hint="default" w:ascii="Calibri" w:hAnsi="Calibri" w:cs="Calibri"/>
        </w:rPr>
      </w:pPr>
      <w:r>
        <w:rPr>
          <w:rFonts w:hint="default" w:ascii="Calibri" w:hAnsi="Calibri" w:cs="Calibri"/>
        </w:rPr>
        <w:t>7.3 Why selection and optimization stay separate</w:t>
      </w:r>
    </w:p>
    <w:p w14:paraId="7E097257">
      <w:pPr>
        <w:keepLines/>
        <w:spacing w:after="90" w:line="254" w:lineRule="auto"/>
        <w:rPr>
          <w:rFonts w:hint="default" w:ascii="Calibri" w:hAnsi="Calibri" w:cs="Calibri"/>
        </w:rPr>
      </w:pPr>
      <w:r>
        <w:rPr>
          <w:rFonts w:hint="default" w:ascii="Calibri" w:hAnsi="Calibri" w:cs="Calibri"/>
        </w:rPr>
        <w:t>For research attribution, equal weighting the selected names is the cleanest baseline. The gap between that portfolio and SPY captures the factor view plus stock selection. The gap between optimized and equal-weight versions of the exact same names isolates the value added by portfolio construction.</w:t>
      </w:r>
    </w:p>
    <w:p w14:paraId="7DE0A5AE">
      <w:pPr>
        <w:pStyle w:val="2"/>
        <w:keepLines/>
        <w:rPr>
          <w:rFonts w:hint="default" w:ascii="Calibri" w:hAnsi="Calibri" w:cs="Calibri"/>
        </w:rPr>
      </w:pPr>
      <w:r>
        <w:rPr>
          <w:rFonts w:hint="default" w:ascii="Calibri" w:hAnsi="Calibri" w:cs="Calibri"/>
        </w:rPr>
        <w:t>8. Portfolio risk and optimization</w:t>
      </w:r>
    </w:p>
    <w:p w14:paraId="03B5955A">
      <w:pPr>
        <w:pStyle w:val="3"/>
        <w:keepLines/>
        <w:rPr>
          <w:rFonts w:hint="default" w:ascii="Calibri" w:hAnsi="Calibri" w:cs="Calibri"/>
        </w:rPr>
      </w:pPr>
      <w:r>
        <w:rPr>
          <w:rFonts w:hint="default" w:ascii="Calibri" w:hAnsi="Calibri" w:cs="Calibri"/>
        </w:rPr>
        <w:t>8.1 Factor-aware risk</w:t>
      </w:r>
    </w:p>
    <w:p w14:paraId="31C8C657">
      <w:pPr>
        <w:keepLines/>
        <w:spacing w:after="90" w:line="254" w:lineRule="auto"/>
        <w:rPr>
          <w:rFonts w:hint="default" w:ascii="Calibri" w:hAnsi="Calibri" w:cs="Calibri"/>
        </w:rPr>
      </w:pPr>
      <w:r>
        <w:rPr>
          <w:rFonts w:hint="default" w:ascii="Calibri" w:hAnsi="Calibri" w:cs="Calibri"/>
        </w:rPr>
        <w:t>Portfolio factor exposure is the weighted average of stock betas. At the stock level, the risk model combines factor covariance with a specific / residual covariance estimate:</w:t>
      </w:r>
    </w:p>
    <w:p w14:paraId="135B513C">
      <w:pPr>
        <w:spacing w:after="60"/>
        <w:rPr>
          <w:rFonts w:hint="default" w:ascii="Calibri" w:hAnsi="Calibri" w:cs="Calibri"/>
        </w:rPr>
      </w:pPr>
      <w:r>
        <w:rPr>
          <w:rFonts w:hint="default" w:ascii="Calibri" w:hAnsi="Calibri" w:cs="Calibri"/>
        </w:rPr>
        <w:t>The factor-risk relationship is shown more clearly in equation form:</w:t>
      </w:r>
    </w:p>
    <w:p w14:paraId="1017BFE0">
      <w:pPr>
        <w:spacing w:before="40" w:after="80"/>
        <w:jc w:val="center"/>
        <w:rPr>
          <w:rFonts w:hint="default" w:ascii="Calibri" w:hAnsi="Calibri" w:cs="Calibri"/>
        </w:rPr>
      </w:pPr>
      <w:r>
        <w:rPr>
          <w:rFonts w:hint="default" w:ascii="Calibri" w:hAnsi="Calibri" w:cs="Calibri"/>
        </w:rPr>
        <w:drawing>
          <wp:inline distT="0" distB="0" distL="114300" distR="114300">
            <wp:extent cx="4937760" cy="9772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937760" cy="977526"/>
                    </a:xfrm>
                    <a:prstGeom prst="rect">
                      <a:avLst/>
                    </a:prstGeom>
                  </pic:spPr>
                </pic:pic>
              </a:graphicData>
            </a:graphic>
          </wp:inline>
        </w:drawing>
      </w:r>
    </w:p>
    <w:p w14:paraId="1179766A">
      <w:pPr>
        <w:spacing w:after="90" w:line="254" w:lineRule="auto"/>
        <w:rPr>
          <w:rFonts w:hint="default" w:ascii="Calibri" w:hAnsi="Calibri" w:cs="Calibri"/>
        </w:rPr>
      </w:pPr>
      <w:r>
        <w:rPr>
          <w:rFonts w:hint="default" w:ascii="Calibri" w:hAnsi="Calibri" w:cs="Calibri"/>
        </w:rPr>
        <w:t>So the portfolio-level risk comes from two pieces: common factor risk and residual / specific risk. The default residual model blends diagonal specific variance with recent empirical residual correlation and then repairs the covariance matrix to positive semidefinite.</w:t>
      </w:r>
    </w:p>
    <w:p w14:paraId="75707AD7">
      <w:pPr>
        <w:pStyle w:val="3"/>
        <w:keepLines/>
        <w:rPr>
          <w:rFonts w:hint="default" w:ascii="Calibri" w:hAnsi="Calibri" w:cs="Calibri"/>
        </w:rPr>
      </w:pPr>
      <w:r>
        <w:rPr>
          <w:rFonts w:hint="default" w:ascii="Calibri" w:hAnsi="Calibri" w:cs="Calibri"/>
        </w:rPr>
        <w:t>8.2 Optimization</w:t>
      </w:r>
    </w:p>
    <w:p w14:paraId="4BFE4681">
      <w:pPr>
        <w:keepLines/>
        <w:spacing w:after="90" w:line="254" w:lineRule="auto"/>
        <w:rPr>
          <w:rFonts w:hint="default" w:ascii="Calibri" w:hAnsi="Calibri" w:cs="Calibri"/>
        </w:rPr>
      </w:pPr>
      <w:r>
        <w:rPr>
          <w:rFonts w:hint="default" w:ascii="Calibri" w:hAnsi="Calibri" w:cs="Calibri"/>
        </w:rPr>
        <w:t>All portfolio solves use SciPy SLSQP. A failed or constraint-violating solve is persisted as infeasible; the app does not silently replace it with equal weight.</w:t>
      </w:r>
    </w:p>
    <w:tbl>
      <w:tblPr>
        <w:tblStyle w:val="12"/>
        <w:tblW w:w="0" w:type="auto"/>
        <w:jc w:val="center"/>
        <w:tblLayout w:type="fixed"/>
        <w:tblCellMar>
          <w:top w:w="0" w:type="dxa"/>
          <w:left w:w="108" w:type="dxa"/>
          <w:bottom w:w="0" w:type="dxa"/>
          <w:right w:w="108" w:type="dxa"/>
        </w:tblCellMar>
      </w:tblPr>
      <w:tblGrid>
        <w:gridCol w:w="3427"/>
        <w:gridCol w:w="3427"/>
        <w:gridCol w:w="3427"/>
      </w:tblGrid>
      <w:tr w14:paraId="34E1B97B">
        <w:tblPrEx>
          <w:tblCellMar>
            <w:top w:w="0" w:type="dxa"/>
            <w:left w:w="108" w:type="dxa"/>
            <w:bottom w:w="0" w:type="dxa"/>
            <w:right w:w="108" w:type="dxa"/>
          </w:tblCellMar>
        </w:tblPrEx>
        <w:trPr>
          <w:cantSplit/>
          <w:tblHeader/>
          <w:jc w:val="center"/>
        </w:trPr>
        <w:tc>
          <w:tcPr>
            <w:tcW w:w="1800"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2A816055">
            <w:pPr>
              <w:spacing w:before="0" w:after="0" w:line="240" w:lineRule="auto"/>
              <w:rPr>
                <w:rFonts w:hint="default" w:ascii="Calibri" w:hAnsi="Calibri" w:cs="Calibri"/>
              </w:rPr>
            </w:pPr>
            <w:r>
              <w:rPr>
                <w:rFonts w:hint="default" w:ascii="Calibri" w:hAnsi="Calibri" w:cs="Calibri"/>
                <w:b/>
                <w:color w:val="FFFFFF"/>
                <w:sz w:val="17"/>
              </w:rPr>
              <w:t>Component</w:t>
            </w:r>
          </w:p>
        </w:tc>
        <w:tc>
          <w:tcPr>
            <w:tcW w:w="4320"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2B82E233">
            <w:pPr>
              <w:spacing w:before="0" w:after="0" w:line="240" w:lineRule="auto"/>
              <w:rPr>
                <w:rFonts w:hint="default" w:ascii="Calibri" w:hAnsi="Calibri" w:cs="Calibri"/>
              </w:rPr>
            </w:pPr>
            <w:r>
              <w:rPr>
                <w:rFonts w:hint="default" w:ascii="Calibri" w:hAnsi="Calibri" w:cs="Calibri"/>
                <w:b/>
                <w:color w:val="FFFFFF"/>
                <w:sz w:val="17"/>
              </w:rPr>
              <w:t>Current choices</w:t>
            </w:r>
          </w:p>
        </w:tc>
        <w:tc>
          <w:tcPr>
            <w:tcW w:w="3672"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28C8E19D">
            <w:pPr>
              <w:spacing w:before="0" w:after="0" w:line="240" w:lineRule="auto"/>
              <w:rPr>
                <w:rFonts w:hint="default" w:ascii="Calibri" w:hAnsi="Calibri" w:cs="Calibri"/>
              </w:rPr>
            </w:pPr>
            <w:r>
              <w:rPr>
                <w:rFonts w:hint="default" w:ascii="Calibri" w:hAnsi="Calibri" w:cs="Calibri"/>
                <w:b/>
                <w:color w:val="FFFFFF"/>
                <w:sz w:val="17"/>
              </w:rPr>
              <w:t>Role</w:t>
            </w:r>
          </w:p>
        </w:tc>
      </w:tr>
      <w:tr w14:paraId="4F981600">
        <w:tblPrEx>
          <w:tblCellMar>
            <w:top w:w="0" w:type="dxa"/>
            <w:left w:w="108" w:type="dxa"/>
            <w:bottom w:w="0" w:type="dxa"/>
            <w:right w:w="108" w:type="dxa"/>
          </w:tblCellMar>
        </w:tblPrEx>
        <w:trPr>
          <w:cantSplit/>
          <w:jc w:val="center"/>
        </w:trPr>
        <w:tc>
          <w:tcPr>
            <w:tcW w:w="1800"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46B0E769">
            <w:pPr>
              <w:spacing w:before="0" w:after="0" w:line="240" w:lineRule="auto"/>
              <w:rPr>
                <w:rFonts w:hint="default" w:ascii="Calibri" w:hAnsi="Calibri" w:cs="Calibri"/>
              </w:rPr>
            </w:pPr>
            <w:r>
              <w:rPr>
                <w:rFonts w:hint="default" w:ascii="Calibri" w:hAnsi="Calibri" w:cs="Calibri"/>
                <w:color w:val="1F2937"/>
                <w:sz w:val="17"/>
              </w:rPr>
              <w:t>Objective</w:t>
            </w:r>
          </w:p>
        </w:tc>
        <w:tc>
          <w:tcPr>
            <w:tcW w:w="4320"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0AF5A38A">
            <w:pPr>
              <w:spacing w:before="0" w:after="0" w:line="240" w:lineRule="auto"/>
              <w:rPr>
                <w:rFonts w:hint="default" w:ascii="Calibri" w:hAnsi="Calibri" w:cs="Calibri"/>
              </w:rPr>
            </w:pPr>
            <w:r>
              <w:rPr>
                <w:rFonts w:hint="default" w:ascii="Calibri" w:hAnsi="Calibri" w:cs="Calibri"/>
                <w:color w:val="1F2937"/>
                <w:sz w:val="17"/>
              </w:rPr>
              <w:t>Minimum variance; max expected return; max Sharpe; return minus variance</w:t>
            </w:r>
          </w:p>
        </w:tc>
        <w:tc>
          <w:tcPr>
            <w:tcW w:w="367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725D1AF9">
            <w:pPr>
              <w:spacing w:before="0" w:after="0" w:line="240" w:lineRule="auto"/>
              <w:rPr>
                <w:rFonts w:hint="default" w:ascii="Calibri" w:hAnsi="Calibri" w:cs="Calibri"/>
              </w:rPr>
            </w:pPr>
            <w:r>
              <w:rPr>
                <w:rFonts w:hint="default" w:ascii="Calibri" w:hAnsi="Calibri" w:cs="Calibri"/>
                <w:color w:val="1F2937"/>
                <w:sz w:val="17"/>
              </w:rPr>
              <w:t>Choose the sizing goal</w:t>
            </w:r>
          </w:p>
        </w:tc>
      </w:tr>
      <w:tr w14:paraId="33E41914">
        <w:tblPrEx>
          <w:tblCellMar>
            <w:top w:w="0" w:type="dxa"/>
            <w:left w:w="108" w:type="dxa"/>
            <w:bottom w:w="0" w:type="dxa"/>
            <w:right w:w="108" w:type="dxa"/>
          </w:tblCellMar>
        </w:tblPrEx>
        <w:trPr>
          <w:cantSplit/>
          <w:jc w:val="center"/>
        </w:trPr>
        <w:tc>
          <w:tcPr>
            <w:tcW w:w="1800"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3CB4883A">
            <w:pPr>
              <w:spacing w:before="0" w:after="0" w:line="240" w:lineRule="auto"/>
              <w:rPr>
                <w:rFonts w:hint="default" w:ascii="Calibri" w:hAnsi="Calibri" w:cs="Calibri"/>
              </w:rPr>
            </w:pPr>
            <w:r>
              <w:rPr>
                <w:rFonts w:hint="default" w:ascii="Calibri" w:hAnsi="Calibri" w:cs="Calibri"/>
                <w:color w:val="1F2937"/>
                <w:sz w:val="17"/>
              </w:rPr>
              <w:t>Risk</w:t>
            </w:r>
          </w:p>
        </w:tc>
        <w:tc>
          <w:tcPr>
            <w:tcW w:w="4320"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56E31F0E">
            <w:pPr>
              <w:spacing w:before="0" w:after="0" w:line="240" w:lineRule="auto"/>
              <w:rPr>
                <w:rFonts w:hint="default" w:ascii="Calibri" w:hAnsi="Calibri" w:cs="Calibri"/>
              </w:rPr>
            </w:pPr>
            <w:r>
              <w:rPr>
                <w:rFonts w:hint="default" w:ascii="Calibri" w:hAnsi="Calibri" w:cs="Calibri"/>
                <w:color w:val="1F2937"/>
                <w:sz w:val="17"/>
              </w:rPr>
              <w:t>V2 factor risk model or Ledoit-Wolf stock covariance</w:t>
            </w:r>
          </w:p>
        </w:tc>
        <w:tc>
          <w:tcPr>
            <w:tcW w:w="367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69932ADF">
            <w:pPr>
              <w:spacing w:before="0" w:after="0" w:line="240" w:lineRule="auto"/>
              <w:rPr>
                <w:rFonts w:hint="default" w:ascii="Calibri" w:hAnsi="Calibri" w:cs="Calibri"/>
              </w:rPr>
            </w:pPr>
            <w:r>
              <w:rPr>
                <w:rFonts w:hint="default" w:ascii="Calibri" w:hAnsi="Calibri" w:cs="Calibri"/>
                <w:color w:val="1F2937"/>
                <w:sz w:val="17"/>
              </w:rPr>
              <w:t>Estimate portfolio risk</w:t>
            </w:r>
          </w:p>
        </w:tc>
      </w:tr>
      <w:tr w14:paraId="7454A81F">
        <w:tblPrEx>
          <w:tblCellMar>
            <w:top w:w="0" w:type="dxa"/>
            <w:left w:w="108" w:type="dxa"/>
            <w:bottom w:w="0" w:type="dxa"/>
            <w:right w:w="108" w:type="dxa"/>
          </w:tblCellMar>
        </w:tblPrEx>
        <w:trPr>
          <w:cantSplit/>
          <w:jc w:val="center"/>
        </w:trPr>
        <w:tc>
          <w:tcPr>
            <w:tcW w:w="1800"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63980171">
            <w:pPr>
              <w:spacing w:before="0" w:after="0" w:line="240" w:lineRule="auto"/>
              <w:rPr>
                <w:rFonts w:hint="default" w:ascii="Calibri" w:hAnsi="Calibri" w:cs="Calibri"/>
              </w:rPr>
            </w:pPr>
            <w:r>
              <w:rPr>
                <w:rFonts w:hint="default" w:ascii="Calibri" w:hAnsi="Calibri" w:cs="Calibri"/>
                <w:color w:val="1F2937"/>
                <w:sz w:val="17"/>
              </w:rPr>
              <w:t>Expected return</w:t>
            </w:r>
          </w:p>
        </w:tc>
        <w:tc>
          <w:tcPr>
            <w:tcW w:w="4320"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06D84ADD">
            <w:pPr>
              <w:spacing w:before="0" w:after="0" w:line="240" w:lineRule="auto"/>
              <w:rPr>
                <w:rFonts w:hint="default" w:ascii="Calibri" w:hAnsi="Calibri" w:cs="Calibri"/>
              </w:rPr>
            </w:pPr>
            <w:r>
              <w:rPr>
                <w:rFonts w:hint="default" w:ascii="Calibri" w:hAnsi="Calibri" w:cs="Calibri"/>
                <w:color w:val="1F2937"/>
                <w:sz w:val="17"/>
              </w:rPr>
              <w:t>Factor-implied; shrunk historical; equal-Sharpe; user supplied</w:t>
            </w:r>
          </w:p>
        </w:tc>
        <w:tc>
          <w:tcPr>
            <w:tcW w:w="367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6775B644">
            <w:pPr>
              <w:spacing w:before="0" w:after="0" w:line="240" w:lineRule="auto"/>
              <w:rPr>
                <w:rFonts w:hint="default" w:ascii="Calibri" w:hAnsi="Calibri" w:cs="Calibri"/>
              </w:rPr>
            </w:pPr>
            <w:r>
              <w:rPr>
                <w:rFonts w:hint="default" w:ascii="Calibri" w:hAnsi="Calibri" w:cs="Calibri"/>
                <w:color w:val="1F2937"/>
                <w:sz w:val="17"/>
              </w:rPr>
              <w:t>Provide the return input</w:t>
            </w:r>
          </w:p>
        </w:tc>
      </w:tr>
      <w:tr w14:paraId="725026D0">
        <w:tblPrEx>
          <w:tblCellMar>
            <w:top w:w="0" w:type="dxa"/>
            <w:left w:w="108" w:type="dxa"/>
            <w:bottom w:w="0" w:type="dxa"/>
            <w:right w:w="108" w:type="dxa"/>
          </w:tblCellMar>
        </w:tblPrEx>
        <w:trPr>
          <w:cantSplit/>
          <w:jc w:val="center"/>
        </w:trPr>
        <w:tc>
          <w:tcPr>
            <w:tcW w:w="1800"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098E67A3">
            <w:pPr>
              <w:spacing w:before="0" w:after="0" w:line="240" w:lineRule="auto"/>
              <w:rPr>
                <w:rFonts w:hint="default" w:ascii="Calibri" w:hAnsi="Calibri" w:cs="Calibri"/>
              </w:rPr>
            </w:pPr>
            <w:r>
              <w:rPr>
                <w:rFonts w:hint="default" w:ascii="Calibri" w:hAnsi="Calibri" w:cs="Calibri"/>
                <w:color w:val="1F2937"/>
                <w:sz w:val="17"/>
              </w:rPr>
              <w:t>Constraints</w:t>
            </w:r>
          </w:p>
        </w:tc>
        <w:tc>
          <w:tcPr>
            <w:tcW w:w="4320"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329F1D20">
            <w:pPr>
              <w:spacing w:before="0" w:after="0" w:line="240" w:lineRule="auto"/>
              <w:rPr>
                <w:rFonts w:hint="default" w:ascii="Calibri" w:hAnsi="Calibri" w:cs="Calibri"/>
              </w:rPr>
            </w:pPr>
            <w:r>
              <w:rPr>
                <w:rFonts w:hint="default" w:ascii="Calibri" w:hAnsi="Calibri" w:cs="Calibri"/>
                <w:color w:val="1F2937"/>
                <w:sz w:val="17"/>
              </w:rPr>
              <w:t>Long-only, full investment, stock caps, sector/factor/turnover/risk limits</w:t>
            </w:r>
          </w:p>
        </w:tc>
        <w:tc>
          <w:tcPr>
            <w:tcW w:w="367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610AD693">
            <w:pPr>
              <w:spacing w:before="0" w:after="0" w:line="240" w:lineRule="auto"/>
              <w:rPr>
                <w:rFonts w:hint="default" w:ascii="Calibri" w:hAnsi="Calibri" w:cs="Calibri"/>
              </w:rPr>
            </w:pPr>
            <w:r>
              <w:rPr>
                <w:rFonts w:hint="default" w:ascii="Calibri" w:hAnsi="Calibri" w:cs="Calibri"/>
                <w:color w:val="1F2937"/>
                <w:sz w:val="17"/>
              </w:rPr>
              <w:t>Keep the portfolio investable and aligned</w:t>
            </w:r>
          </w:p>
        </w:tc>
      </w:tr>
    </w:tbl>
    <w:p w14:paraId="1B735A18">
      <w:pPr>
        <w:keepLines/>
        <w:spacing w:after="90" w:line="254" w:lineRule="auto"/>
        <w:rPr>
          <w:rFonts w:hint="default" w:ascii="Calibri" w:hAnsi="Calibri" w:cs="Calibri"/>
        </w:rPr>
      </w:pPr>
      <w:r>
        <w:rPr>
          <w:rFonts w:hint="default" w:ascii="Calibri" w:hAnsi="Calibri" w:cs="Calibri"/>
        </w:rPr>
        <w:t>Regression alpha is excluded from expected returns because it is too noisy. Factor premiums are treated as uncertain priors and are shrunk rather than assumed to be stable constants.</w:t>
      </w:r>
    </w:p>
    <w:p w14:paraId="4823D3EC">
      <w:pPr>
        <w:pStyle w:val="2"/>
        <w:keepLines/>
        <w:rPr>
          <w:rFonts w:hint="default" w:ascii="Calibri" w:hAnsi="Calibri" w:cs="Calibri"/>
        </w:rPr>
      </w:pPr>
      <w:r>
        <w:rPr>
          <w:rFonts w:hint="default" w:ascii="Calibri" w:hAnsi="Calibri" w:cs="Calibri"/>
        </w:rPr>
        <w:t>9. Current evidence and backtesting</w:t>
      </w:r>
    </w:p>
    <w:p w14:paraId="79A3522D">
      <w:pPr>
        <w:pStyle w:val="3"/>
        <w:keepLines/>
        <w:rPr>
          <w:rFonts w:hint="default" w:ascii="Calibri" w:hAnsi="Calibri" w:cs="Calibri"/>
        </w:rPr>
      </w:pPr>
      <w:r>
        <w:rPr>
          <w:rFonts w:hint="default" w:ascii="Calibri" w:hAnsi="Calibri" w:cs="Calibri"/>
        </w:rPr>
        <w:t>9.1 Optimizer comparison</w:t>
      </w:r>
    </w:p>
    <w:p w14:paraId="0E325471">
      <w:pPr>
        <w:keepLines/>
        <w:spacing w:after="90" w:line="254" w:lineRule="auto"/>
        <w:rPr>
          <w:rFonts w:hint="default" w:ascii="Calibri" w:hAnsi="Calibri" w:cs="Calibri"/>
        </w:rPr>
      </w:pPr>
      <w:r>
        <w:rPr>
          <w:rFonts w:hint="default" w:ascii="Calibri" w:hAnsi="Calibri" w:cs="Calibri"/>
        </w:rPr>
        <w:t>The current 24-month 'Strong growth Portfolio' comparison is useful mainly as a diagnostic. Equal weighting the selected names produced the best Sharpe among the tested weighting paths:</w:t>
      </w:r>
    </w:p>
    <w:tbl>
      <w:tblPr>
        <w:tblStyle w:val="12"/>
        <w:tblW w:w="0" w:type="auto"/>
        <w:jc w:val="center"/>
        <w:tblLayout w:type="fixed"/>
        <w:tblCellMar>
          <w:top w:w="0" w:type="dxa"/>
          <w:left w:w="108" w:type="dxa"/>
          <w:bottom w:w="0" w:type="dxa"/>
          <w:right w:w="108" w:type="dxa"/>
        </w:tblCellMar>
      </w:tblPr>
      <w:tblGrid>
        <w:gridCol w:w="5141"/>
        <w:gridCol w:w="5141"/>
      </w:tblGrid>
      <w:tr w14:paraId="50DE129A">
        <w:tblPrEx>
          <w:tblCellMar>
            <w:top w:w="0" w:type="dxa"/>
            <w:left w:w="108" w:type="dxa"/>
            <w:bottom w:w="0" w:type="dxa"/>
            <w:right w:w="108" w:type="dxa"/>
          </w:tblCellMar>
        </w:tblPrEx>
        <w:trPr>
          <w:cantSplit/>
          <w:tblHeader/>
          <w:jc w:val="center"/>
        </w:trPr>
        <w:tc>
          <w:tcPr>
            <w:tcW w:w="7632"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01BED957">
            <w:pPr>
              <w:spacing w:before="0" w:after="0" w:line="240" w:lineRule="auto"/>
              <w:rPr>
                <w:rFonts w:hint="default" w:ascii="Calibri" w:hAnsi="Calibri" w:cs="Calibri"/>
              </w:rPr>
            </w:pPr>
            <w:r>
              <w:rPr>
                <w:rFonts w:hint="default" w:ascii="Calibri" w:hAnsi="Calibri" w:cs="Calibri"/>
                <w:b/>
                <w:color w:val="FFFFFF"/>
                <w:sz w:val="17"/>
              </w:rPr>
              <w:t>Weighting method</w:t>
            </w:r>
          </w:p>
        </w:tc>
        <w:tc>
          <w:tcPr>
            <w:tcW w:w="1872"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0E681125">
            <w:pPr>
              <w:spacing w:before="0" w:after="0" w:line="240" w:lineRule="auto"/>
              <w:rPr>
                <w:rFonts w:hint="default" w:ascii="Calibri" w:hAnsi="Calibri" w:cs="Calibri"/>
              </w:rPr>
            </w:pPr>
            <w:r>
              <w:rPr>
                <w:rFonts w:hint="default" w:ascii="Calibri" w:hAnsi="Calibri" w:cs="Calibri"/>
                <w:b/>
                <w:color w:val="FFFFFF"/>
                <w:sz w:val="17"/>
              </w:rPr>
              <w:t>Sharpe</w:t>
            </w:r>
          </w:p>
        </w:tc>
      </w:tr>
      <w:tr w14:paraId="511B8A28">
        <w:tblPrEx>
          <w:tblCellMar>
            <w:top w:w="0" w:type="dxa"/>
            <w:left w:w="108" w:type="dxa"/>
            <w:bottom w:w="0" w:type="dxa"/>
            <w:right w:w="108" w:type="dxa"/>
          </w:tblCellMar>
        </w:tblPrEx>
        <w:trPr>
          <w:cantSplit/>
          <w:jc w:val="center"/>
        </w:trPr>
        <w:tc>
          <w:tcPr>
            <w:tcW w:w="763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39446E04">
            <w:pPr>
              <w:spacing w:before="0" w:after="0" w:line="240" w:lineRule="auto"/>
              <w:rPr>
                <w:rFonts w:hint="default" w:ascii="Calibri" w:hAnsi="Calibri" w:cs="Calibri"/>
              </w:rPr>
            </w:pPr>
            <w:r>
              <w:rPr>
                <w:rFonts w:hint="default" w:ascii="Calibri" w:hAnsi="Calibri" w:cs="Calibri"/>
                <w:color w:val="1F2937"/>
                <w:sz w:val="17"/>
              </w:rPr>
              <w:t>1/N equal weight</w:t>
            </w:r>
          </w:p>
        </w:tc>
        <w:tc>
          <w:tcPr>
            <w:tcW w:w="187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4CA0B8CF">
            <w:pPr>
              <w:spacing w:before="0" w:after="0" w:line="240" w:lineRule="auto"/>
              <w:rPr>
                <w:rFonts w:hint="default" w:ascii="Calibri" w:hAnsi="Calibri" w:cs="Calibri"/>
              </w:rPr>
            </w:pPr>
            <w:r>
              <w:rPr>
                <w:rFonts w:hint="default" w:ascii="Calibri" w:hAnsi="Calibri" w:cs="Calibri"/>
                <w:color w:val="1F2937"/>
                <w:sz w:val="17"/>
              </w:rPr>
              <w:t>1.58</w:t>
            </w:r>
          </w:p>
        </w:tc>
      </w:tr>
      <w:tr w14:paraId="3C88BE6C">
        <w:tblPrEx>
          <w:tblCellMar>
            <w:top w:w="0" w:type="dxa"/>
            <w:left w:w="108" w:type="dxa"/>
            <w:bottom w:w="0" w:type="dxa"/>
            <w:right w:w="108" w:type="dxa"/>
          </w:tblCellMar>
        </w:tblPrEx>
        <w:trPr>
          <w:cantSplit/>
          <w:jc w:val="center"/>
        </w:trPr>
        <w:tc>
          <w:tcPr>
            <w:tcW w:w="763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6A8F9FD9">
            <w:pPr>
              <w:spacing w:before="0" w:after="0" w:line="240" w:lineRule="auto"/>
              <w:rPr>
                <w:rFonts w:hint="default" w:ascii="Calibri" w:hAnsi="Calibri" w:cs="Calibri"/>
              </w:rPr>
            </w:pPr>
            <w:r>
              <w:rPr>
                <w:rFonts w:hint="default" w:ascii="Calibri" w:hAnsi="Calibri" w:cs="Calibri"/>
                <w:color w:val="1F2937"/>
                <w:sz w:val="17"/>
              </w:rPr>
              <w:t>Shrunk-mean maximum Sharpe</w:t>
            </w:r>
          </w:p>
        </w:tc>
        <w:tc>
          <w:tcPr>
            <w:tcW w:w="187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5CDA3959">
            <w:pPr>
              <w:spacing w:before="0" w:after="0" w:line="240" w:lineRule="auto"/>
              <w:rPr>
                <w:rFonts w:hint="default" w:ascii="Calibri" w:hAnsi="Calibri" w:cs="Calibri"/>
              </w:rPr>
            </w:pPr>
            <w:r>
              <w:rPr>
                <w:rFonts w:hint="default" w:ascii="Calibri" w:hAnsi="Calibri" w:cs="Calibri"/>
                <w:color w:val="1F2937"/>
                <w:sz w:val="17"/>
              </w:rPr>
              <w:t>1.55</w:t>
            </w:r>
          </w:p>
        </w:tc>
      </w:tr>
      <w:tr w14:paraId="5AA1D954">
        <w:tblPrEx>
          <w:tblCellMar>
            <w:top w:w="0" w:type="dxa"/>
            <w:left w:w="108" w:type="dxa"/>
            <w:bottom w:w="0" w:type="dxa"/>
            <w:right w:w="108" w:type="dxa"/>
          </w:tblCellMar>
        </w:tblPrEx>
        <w:trPr>
          <w:cantSplit/>
          <w:jc w:val="center"/>
        </w:trPr>
        <w:tc>
          <w:tcPr>
            <w:tcW w:w="763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71D34910">
            <w:pPr>
              <w:spacing w:before="0" w:after="0" w:line="240" w:lineRule="auto"/>
              <w:rPr>
                <w:rFonts w:hint="default" w:ascii="Calibri" w:hAnsi="Calibri" w:cs="Calibri"/>
              </w:rPr>
            </w:pPr>
            <w:r>
              <w:rPr>
                <w:rFonts w:hint="default" w:ascii="Calibri" w:hAnsi="Calibri" w:cs="Calibri"/>
                <w:color w:val="1F2937"/>
                <w:sz w:val="17"/>
              </w:rPr>
              <w:t>Minimum variance</w:t>
            </w:r>
          </w:p>
        </w:tc>
        <w:tc>
          <w:tcPr>
            <w:tcW w:w="187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333CB522">
            <w:pPr>
              <w:spacing w:before="0" w:after="0" w:line="240" w:lineRule="auto"/>
              <w:rPr>
                <w:rFonts w:hint="default" w:ascii="Calibri" w:hAnsi="Calibri" w:cs="Calibri"/>
              </w:rPr>
            </w:pPr>
            <w:r>
              <w:rPr>
                <w:rFonts w:hint="default" w:ascii="Calibri" w:hAnsi="Calibri" w:cs="Calibri"/>
                <w:color w:val="1F2937"/>
                <w:sz w:val="17"/>
              </w:rPr>
              <w:t>1.52</w:t>
            </w:r>
          </w:p>
        </w:tc>
      </w:tr>
      <w:tr w14:paraId="3FA1F241">
        <w:tblPrEx>
          <w:tblCellMar>
            <w:top w:w="0" w:type="dxa"/>
            <w:left w:w="108" w:type="dxa"/>
            <w:bottom w:w="0" w:type="dxa"/>
            <w:right w:w="108" w:type="dxa"/>
          </w:tblCellMar>
        </w:tblPrEx>
        <w:trPr>
          <w:cantSplit/>
          <w:jc w:val="center"/>
        </w:trPr>
        <w:tc>
          <w:tcPr>
            <w:tcW w:w="763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3C0A900F">
            <w:pPr>
              <w:spacing w:before="0" w:after="0" w:line="240" w:lineRule="auto"/>
              <w:rPr>
                <w:rFonts w:hint="default" w:ascii="Calibri" w:hAnsi="Calibri" w:cs="Calibri"/>
              </w:rPr>
            </w:pPr>
            <w:r>
              <w:rPr>
                <w:rFonts w:hint="default" w:ascii="Calibri" w:hAnsi="Calibri" w:cs="Calibri"/>
                <w:color w:val="1F2937"/>
                <w:sz w:val="17"/>
              </w:rPr>
              <w:t>Raw-mean maximum Sharpe</w:t>
            </w:r>
          </w:p>
        </w:tc>
        <w:tc>
          <w:tcPr>
            <w:tcW w:w="187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05B9384B">
            <w:pPr>
              <w:spacing w:before="0" w:after="0" w:line="240" w:lineRule="auto"/>
              <w:rPr>
                <w:rFonts w:hint="default" w:ascii="Calibri" w:hAnsi="Calibri" w:cs="Calibri"/>
              </w:rPr>
            </w:pPr>
            <w:r>
              <w:rPr>
                <w:rFonts w:hint="default" w:ascii="Calibri" w:hAnsi="Calibri" w:cs="Calibri"/>
                <w:color w:val="1F2937"/>
                <w:sz w:val="17"/>
              </w:rPr>
              <w:t>1.35</w:t>
            </w:r>
          </w:p>
        </w:tc>
      </w:tr>
      <w:tr w14:paraId="41EAC958">
        <w:tblPrEx>
          <w:tblCellMar>
            <w:top w:w="0" w:type="dxa"/>
            <w:left w:w="108" w:type="dxa"/>
            <w:bottom w:w="0" w:type="dxa"/>
            <w:right w:w="108" w:type="dxa"/>
          </w:tblCellMar>
        </w:tblPrEx>
        <w:trPr>
          <w:cantSplit/>
          <w:jc w:val="center"/>
        </w:trPr>
        <w:tc>
          <w:tcPr>
            <w:tcW w:w="763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1EE0DF65">
            <w:pPr>
              <w:spacing w:before="0" w:after="0" w:line="240" w:lineRule="auto"/>
              <w:rPr>
                <w:rFonts w:hint="default" w:ascii="Calibri" w:hAnsi="Calibri" w:cs="Calibri"/>
              </w:rPr>
            </w:pPr>
            <w:r>
              <w:rPr>
                <w:rFonts w:hint="default" w:ascii="Calibri" w:hAnsi="Calibri" w:cs="Calibri"/>
                <w:color w:val="1F2937"/>
                <w:sz w:val="17"/>
              </w:rPr>
              <w:t>Factor-premium maximum Sharpe</w:t>
            </w:r>
          </w:p>
        </w:tc>
        <w:tc>
          <w:tcPr>
            <w:tcW w:w="187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66CF99A5">
            <w:pPr>
              <w:spacing w:before="0" w:after="0" w:line="240" w:lineRule="auto"/>
              <w:rPr>
                <w:rFonts w:hint="default" w:ascii="Calibri" w:hAnsi="Calibri" w:cs="Calibri"/>
              </w:rPr>
            </w:pPr>
            <w:r>
              <w:rPr>
                <w:rFonts w:hint="default" w:ascii="Calibri" w:hAnsi="Calibri" w:cs="Calibri"/>
                <w:color w:val="1F2937"/>
                <w:sz w:val="17"/>
              </w:rPr>
              <w:t>1.17</w:t>
            </w:r>
          </w:p>
        </w:tc>
      </w:tr>
      <w:tr w14:paraId="0DEBB8D1">
        <w:tblPrEx>
          <w:tblCellMar>
            <w:top w:w="0" w:type="dxa"/>
            <w:left w:w="108" w:type="dxa"/>
            <w:bottom w:w="0" w:type="dxa"/>
            <w:right w:w="108" w:type="dxa"/>
          </w:tblCellMar>
        </w:tblPrEx>
        <w:trPr>
          <w:cantSplit/>
          <w:jc w:val="center"/>
        </w:trPr>
        <w:tc>
          <w:tcPr>
            <w:tcW w:w="763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2AC1E228">
            <w:pPr>
              <w:spacing w:before="0" w:after="0" w:line="240" w:lineRule="auto"/>
              <w:rPr>
                <w:rFonts w:hint="default" w:ascii="Calibri" w:hAnsi="Calibri" w:cs="Calibri"/>
              </w:rPr>
            </w:pPr>
            <w:r>
              <w:rPr>
                <w:rFonts w:hint="default" w:ascii="Calibri" w:hAnsi="Calibri" w:cs="Calibri"/>
                <w:color w:val="1F2937"/>
                <w:sz w:val="17"/>
              </w:rPr>
              <w:t>Maximum diversification</w:t>
            </w:r>
          </w:p>
        </w:tc>
        <w:tc>
          <w:tcPr>
            <w:tcW w:w="187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132ABDE8">
            <w:pPr>
              <w:spacing w:before="0" w:after="0" w:line="240" w:lineRule="auto"/>
              <w:rPr>
                <w:rFonts w:hint="default" w:ascii="Calibri" w:hAnsi="Calibri" w:cs="Calibri"/>
              </w:rPr>
            </w:pPr>
            <w:r>
              <w:rPr>
                <w:rFonts w:hint="default" w:ascii="Calibri" w:hAnsi="Calibri" w:cs="Calibri"/>
                <w:color w:val="1F2937"/>
                <w:sz w:val="17"/>
              </w:rPr>
              <w:t>1.11</w:t>
            </w:r>
          </w:p>
        </w:tc>
      </w:tr>
    </w:tbl>
    <w:p w14:paraId="0DD75A8C">
      <w:pPr>
        <w:keepLines/>
        <w:spacing w:after="90" w:line="254" w:lineRule="auto"/>
        <w:rPr>
          <w:rFonts w:hint="default" w:ascii="Calibri" w:hAnsi="Calibri" w:cs="Calibri"/>
        </w:rPr>
      </w:pPr>
      <w:r>
        <w:rPr>
          <w:rFonts w:hint="default" w:ascii="Calibri" w:hAnsi="Calibri" w:cs="Calibri"/>
          <w:b/>
        </w:rPr>
        <w:t xml:space="preserve">Diagnosis: expected-return quality is the current bottleneck, not SLSQP. </w:t>
      </w:r>
      <w:r>
        <w:rPr>
          <w:rFonts w:hint="default" w:ascii="Calibri" w:hAnsi="Calibri" w:cs="Calibri"/>
        </w:rPr>
        <w:t>The sample is short and survivorship-biased, so this ranking is not conclusive. Minimum variance can still be useful as a risk overlay. The main research effort should remain on factor-view formation and stock-ranking quality before adding more optimizer complexity.</w:t>
      </w:r>
    </w:p>
    <w:p w14:paraId="7D226A84">
      <w:pPr>
        <w:pStyle w:val="3"/>
        <w:keepLines/>
        <w:rPr>
          <w:rFonts w:hint="default" w:ascii="Calibri" w:hAnsi="Calibri" w:cs="Calibri"/>
        </w:rPr>
      </w:pPr>
      <w:r>
        <w:rPr>
          <w:rFonts w:hint="default" w:ascii="Calibri" w:hAnsi="Calibri" w:cs="Calibri"/>
        </w:rPr>
        <w:t>9.2 Historical testing</w:t>
      </w:r>
    </w:p>
    <w:p w14:paraId="000FB9C6">
      <w:pPr>
        <w:keepLines/>
        <w:spacing w:after="90" w:line="254" w:lineRule="auto"/>
        <w:rPr>
          <w:rFonts w:hint="default" w:ascii="Calibri" w:hAnsi="Calibri" w:cs="Calibri"/>
        </w:rPr>
      </w:pPr>
      <w:r>
        <w:rPr>
          <w:rFonts w:hint="default" w:ascii="Calibri" w:hAnsi="Calibri" w:cs="Calibri"/>
        </w:rPr>
        <w:t>QuantLab uses two historical paths: a fast replay of stored monthly stock fits for focused selection-versus-weighting comparisons, and a stricter walk-forward workflow for investment evidence.</w:t>
      </w:r>
    </w:p>
    <w:p w14:paraId="5F0CF339">
      <w:pPr>
        <w:pStyle w:val="165"/>
        <w:keepLines/>
        <w:spacing w:after="44" w:line="250" w:lineRule="auto"/>
        <w:ind w:left="288" w:hanging="230"/>
        <w:rPr>
          <w:rFonts w:hint="default" w:ascii="Calibri" w:hAnsi="Calibri" w:cs="Calibri"/>
        </w:rPr>
      </w:pPr>
      <w:r>
        <w:rPr>
          <w:rFonts w:hint="default" w:ascii="Calibri" w:hAnsi="Calibri" w:cs="Calibri"/>
          <w:b/>
        </w:rPr>
        <w:t xml:space="preserve">1. </w:t>
      </w:r>
      <w:r>
        <w:rPr>
          <w:rFonts w:hint="default" w:ascii="Calibri" w:hAnsi="Calibri" w:cs="Calibri"/>
        </w:rPr>
        <w:t>Form the signal using information through month-end.</w:t>
      </w:r>
    </w:p>
    <w:p w14:paraId="168ABE84">
      <w:pPr>
        <w:pStyle w:val="165"/>
        <w:keepLines/>
        <w:spacing w:after="44" w:line="250" w:lineRule="auto"/>
        <w:ind w:left="288" w:hanging="230"/>
        <w:rPr>
          <w:rFonts w:hint="default" w:ascii="Calibri" w:hAnsi="Calibri" w:cs="Calibri"/>
        </w:rPr>
      </w:pPr>
      <w:r>
        <w:rPr>
          <w:rFonts w:hint="default" w:ascii="Calibri" w:hAnsi="Calibri" w:cs="Calibri"/>
          <w:b/>
        </w:rPr>
        <w:t xml:space="preserve">2. </w:t>
      </w:r>
      <w:r>
        <w:rPr>
          <w:rFonts w:hint="default" w:ascii="Calibri" w:hAnsi="Calibri" w:cs="Calibri"/>
        </w:rPr>
        <w:t>Execute on the next trading day.</w:t>
      </w:r>
    </w:p>
    <w:p w14:paraId="11A0A78D">
      <w:pPr>
        <w:pStyle w:val="165"/>
        <w:keepLines/>
        <w:spacing w:after="44" w:line="250" w:lineRule="auto"/>
        <w:ind w:left="288" w:hanging="230"/>
        <w:rPr>
          <w:rFonts w:hint="default" w:ascii="Calibri" w:hAnsi="Calibri" w:cs="Calibri"/>
        </w:rPr>
      </w:pPr>
      <w:r>
        <w:rPr>
          <w:rFonts w:hint="default" w:ascii="Calibri" w:hAnsi="Calibri" w:cs="Calibri"/>
          <w:b/>
        </w:rPr>
        <w:t xml:space="preserve">3. </w:t>
      </w:r>
      <w:r>
        <w:rPr>
          <w:rFonts w:hint="default" w:ascii="Calibri" w:hAnsi="Calibri" w:cs="Calibri"/>
        </w:rPr>
        <w:t>Charge explicit transaction costs.</w:t>
      </w:r>
    </w:p>
    <w:p w14:paraId="3ABB3667">
      <w:pPr>
        <w:pStyle w:val="165"/>
        <w:keepLines/>
        <w:spacing w:after="44" w:line="250" w:lineRule="auto"/>
        <w:ind w:left="288" w:hanging="230"/>
        <w:rPr>
          <w:rFonts w:hint="default" w:ascii="Calibri" w:hAnsi="Calibri" w:cs="Calibri"/>
        </w:rPr>
      </w:pPr>
      <w:r>
        <w:rPr>
          <w:rFonts w:hint="default" w:ascii="Calibri" w:hAnsi="Calibri" w:cs="Calibri"/>
          <w:b/>
        </w:rPr>
        <w:t xml:space="preserve">4. </w:t>
      </w:r>
      <w:r>
        <w:rPr>
          <w:rFonts w:hint="default" w:ascii="Calibri" w:hAnsi="Calibri" w:cs="Calibri"/>
        </w:rPr>
        <w:t>Drift holdings until the next accepted rebalance.</w:t>
      </w:r>
    </w:p>
    <w:p w14:paraId="4322A214">
      <w:pPr>
        <w:pStyle w:val="165"/>
        <w:keepLines/>
        <w:spacing w:after="44" w:line="250" w:lineRule="auto"/>
        <w:ind w:left="288" w:hanging="230"/>
        <w:rPr>
          <w:rFonts w:hint="default" w:ascii="Calibri" w:hAnsi="Calibri" w:cs="Calibri"/>
        </w:rPr>
      </w:pPr>
      <w:r>
        <w:rPr>
          <w:rFonts w:hint="default" w:ascii="Calibri" w:hAnsi="Calibri" w:cs="Calibri"/>
          <w:b/>
        </w:rPr>
        <w:t xml:space="preserve">5. </w:t>
      </w:r>
      <w:r>
        <w:rPr>
          <w:rFonts w:hint="default" w:ascii="Calibri" w:hAnsi="Calibri" w:cs="Calibri"/>
        </w:rPr>
        <w:t>Persist the decision and rebalance state.</w:t>
      </w:r>
    </w:p>
    <w:p w14:paraId="61B26C32">
      <w:pPr>
        <w:pStyle w:val="165"/>
        <w:keepLines/>
        <w:spacing w:after="44" w:line="250" w:lineRule="auto"/>
        <w:ind w:left="288" w:hanging="230"/>
        <w:rPr>
          <w:rFonts w:hint="default" w:ascii="Calibri" w:hAnsi="Calibri" w:cs="Calibri"/>
        </w:rPr>
      </w:pPr>
      <w:r>
        <w:rPr>
          <w:rFonts w:hint="default" w:ascii="Calibri" w:hAnsi="Calibri" w:cs="Calibri"/>
          <w:b/>
        </w:rPr>
        <w:t xml:space="preserve">6. </w:t>
      </w:r>
      <w:r>
        <w:rPr>
          <w:rFonts w:hint="default" w:ascii="Calibri" w:hAnsi="Calibri" w:cs="Calibri"/>
        </w:rPr>
        <w:t>Compare the strategy with equal-weight selected names, random-N, and SPY.</w:t>
      </w:r>
    </w:p>
    <w:p w14:paraId="73343BAD">
      <w:pPr>
        <w:keepLines/>
        <w:spacing w:after="90" w:line="254" w:lineRule="auto"/>
        <w:rPr>
          <w:rFonts w:hint="default" w:ascii="Calibri" w:hAnsi="Calibri" w:cs="Calibri"/>
        </w:rPr>
      </w:pPr>
      <w:r>
        <w:rPr>
          <w:rFonts w:hint="default" w:ascii="Calibri" w:hAnsi="Calibri" w:cs="Calibri"/>
        </w:rPr>
        <w:t>Default cost scenarios are 10, 25, and 50 bps. The backtest reports return, volatility, Sharpe, Sortino, Calmar, maximum drawdown, VaR/CVaR, turnover, costs, and benchmark-relative statistics. For the stock-ranking signal it also reports rank IC, ICIR, top-minus-bottom spread, hit rate, and quantile returns.</w:t>
      </w:r>
    </w:p>
    <w:p w14:paraId="5E672E9A">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Every rolling input stops at the signal date.</w:t>
      </w:r>
    </w:p>
    <w:p w14:paraId="7C701BC4">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A failed optimizer means fail / skip; it is never relabeled as an optimized equal-weight result.</w:t>
      </w:r>
    </w:p>
    <w:p w14:paraId="560239B9">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Stock selection and weighting are evaluated separately.</w:t>
      </w:r>
    </w:p>
    <w:p w14:paraId="4BDD0908">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Gross and multiple net-cost paths are shown.</w:t>
      </w:r>
    </w:p>
    <w:p w14:paraId="3FDB95A7">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A point-in-time constituent universe is required before claiming an unbiased historical test.</w:t>
      </w:r>
    </w:p>
    <w:p w14:paraId="33FE6E20">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Multiple parameter trials require out-of-sample discipline or multiple-testing control.</w:t>
      </w:r>
    </w:p>
    <w:p w14:paraId="7EDA4C97">
      <w:pPr>
        <w:pStyle w:val="2"/>
        <w:keepLines/>
        <w:rPr>
          <w:rFonts w:hint="default" w:ascii="Calibri" w:hAnsi="Calibri" w:cs="Calibri"/>
        </w:rPr>
      </w:pPr>
      <w:r>
        <w:rPr>
          <w:rFonts w:hint="default" w:ascii="Calibri" w:hAnsi="Calibri" w:cs="Calibri"/>
        </w:rPr>
        <w:t>10. Data, implementation, and auditability</w:t>
      </w:r>
    </w:p>
    <w:p w14:paraId="05A67037">
      <w:pPr>
        <w:keepLines/>
        <w:spacing w:after="90" w:line="254" w:lineRule="auto"/>
        <w:rPr>
          <w:rFonts w:hint="default" w:ascii="Calibri" w:hAnsi="Calibri" w:cs="Calibri"/>
        </w:rPr>
      </w:pPr>
      <w:r>
        <w:rPr>
          <w:rFonts w:hint="default" w:ascii="Calibri" w:hAnsi="Calibri" w:cs="Calibri"/>
        </w:rPr>
        <w:t>The app is a Django research system with a single canonical data store for prices, factor returns, monthly stock fits, stock betas, screens, portfolios, optimizer diagnostics, backtest decisions, and job state. Heavy work is queued rather than performed during page rendering.</w:t>
      </w:r>
    </w:p>
    <w:tbl>
      <w:tblPr>
        <w:tblStyle w:val="12"/>
        <w:tblW w:w="0" w:type="auto"/>
        <w:jc w:val="center"/>
        <w:tblLayout w:type="fixed"/>
        <w:tblCellMar>
          <w:top w:w="0" w:type="dxa"/>
          <w:left w:w="108" w:type="dxa"/>
          <w:bottom w:w="0" w:type="dxa"/>
          <w:right w:w="108" w:type="dxa"/>
        </w:tblCellMar>
      </w:tblPr>
      <w:tblGrid>
        <w:gridCol w:w="2570"/>
        <w:gridCol w:w="2570"/>
        <w:gridCol w:w="2570"/>
        <w:gridCol w:w="2570"/>
      </w:tblGrid>
      <w:tr w14:paraId="34270442">
        <w:tblPrEx>
          <w:tblCellMar>
            <w:top w:w="0" w:type="dxa"/>
            <w:left w:w="108" w:type="dxa"/>
            <w:bottom w:w="0" w:type="dxa"/>
            <w:right w:w="108" w:type="dxa"/>
          </w:tblCellMar>
        </w:tblPrEx>
        <w:trPr>
          <w:jc w:val="center"/>
        </w:trPr>
        <w:tc>
          <w:tcPr>
            <w:tcW w:w="2448" w:type="dxa"/>
            <w:tcBorders>
              <w:top w:val="single" w:color="D2D9E3" w:sz="2" w:space="0"/>
              <w:left w:val="single" w:color="D2D9E3" w:sz="2" w:space="0"/>
              <w:bottom w:val="single" w:color="D2D9E3" w:sz="2" w:space="0"/>
              <w:right w:val="single" w:color="D2D9E3" w:sz="2" w:space="0"/>
            </w:tcBorders>
            <w:shd w:val="clear" w:color="auto" w:fill="EAF0F8"/>
            <w:tcMar>
              <w:top w:w="60" w:type="dxa"/>
              <w:left w:w="55" w:type="dxa"/>
              <w:bottom w:w="60" w:type="dxa"/>
              <w:right w:w="55" w:type="dxa"/>
            </w:tcMar>
          </w:tcPr>
          <w:p w14:paraId="71255497">
            <w:pPr>
              <w:jc w:val="center"/>
              <w:rPr>
                <w:rFonts w:hint="default" w:ascii="Calibri" w:hAnsi="Calibri" w:cs="Calibri"/>
              </w:rPr>
            </w:pPr>
            <w:r>
              <w:rPr>
                <w:rFonts w:hint="default" w:ascii="Calibri" w:hAnsi="Calibri" w:cs="Calibri"/>
                <w:b/>
                <w:color w:val="17365D"/>
                <w:sz w:val="26"/>
              </w:rPr>
              <w:t>580</w:t>
            </w:r>
          </w:p>
        </w:tc>
        <w:tc>
          <w:tcPr>
            <w:tcW w:w="2448" w:type="dxa"/>
            <w:tcBorders>
              <w:top w:val="single" w:color="D2D9E3" w:sz="2" w:space="0"/>
              <w:left w:val="single" w:color="D2D9E3" w:sz="2" w:space="0"/>
              <w:bottom w:val="single" w:color="D2D9E3" w:sz="2" w:space="0"/>
              <w:right w:val="single" w:color="D2D9E3" w:sz="2" w:space="0"/>
            </w:tcBorders>
            <w:shd w:val="clear" w:color="auto" w:fill="EAF0F8"/>
            <w:tcMar>
              <w:top w:w="60" w:type="dxa"/>
              <w:left w:w="55" w:type="dxa"/>
              <w:bottom w:w="60" w:type="dxa"/>
              <w:right w:w="55" w:type="dxa"/>
            </w:tcMar>
          </w:tcPr>
          <w:p w14:paraId="404713D9">
            <w:pPr>
              <w:jc w:val="center"/>
              <w:rPr>
                <w:rFonts w:hint="default" w:ascii="Calibri" w:hAnsi="Calibri" w:cs="Calibri"/>
              </w:rPr>
            </w:pPr>
            <w:r>
              <w:rPr>
                <w:rFonts w:hint="default" w:ascii="Calibri" w:hAnsi="Calibri" w:cs="Calibri"/>
                <w:b/>
                <w:color w:val="17365D"/>
                <w:sz w:val="26"/>
              </w:rPr>
              <w:t>56</w:t>
            </w:r>
          </w:p>
        </w:tc>
        <w:tc>
          <w:tcPr>
            <w:tcW w:w="2448" w:type="dxa"/>
            <w:tcBorders>
              <w:top w:val="single" w:color="D2D9E3" w:sz="2" w:space="0"/>
              <w:left w:val="single" w:color="D2D9E3" w:sz="2" w:space="0"/>
              <w:bottom w:val="single" w:color="D2D9E3" w:sz="2" w:space="0"/>
              <w:right w:val="single" w:color="D2D9E3" w:sz="2" w:space="0"/>
            </w:tcBorders>
            <w:shd w:val="clear" w:color="auto" w:fill="EAF0F8"/>
            <w:tcMar>
              <w:top w:w="60" w:type="dxa"/>
              <w:left w:w="55" w:type="dxa"/>
              <w:bottom w:w="60" w:type="dxa"/>
              <w:right w:w="55" w:type="dxa"/>
            </w:tcMar>
          </w:tcPr>
          <w:p w14:paraId="70D33C06">
            <w:pPr>
              <w:jc w:val="center"/>
              <w:rPr>
                <w:rFonts w:hint="default" w:ascii="Calibri" w:hAnsi="Calibri" w:cs="Calibri"/>
              </w:rPr>
            </w:pPr>
            <w:r>
              <w:rPr>
                <w:rFonts w:hint="default" w:ascii="Calibri" w:hAnsi="Calibri" w:cs="Calibri"/>
                <w:b/>
                <w:color w:val="17365D"/>
                <w:sz w:val="26"/>
              </w:rPr>
              <w:t>1.24m</w:t>
            </w:r>
          </w:p>
        </w:tc>
        <w:tc>
          <w:tcPr>
            <w:tcW w:w="2448" w:type="dxa"/>
            <w:tcBorders>
              <w:top w:val="single" w:color="D2D9E3" w:sz="2" w:space="0"/>
              <w:left w:val="single" w:color="D2D9E3" w:sz="2" w:space="0"/>
              <w:bottom w:val="single" w:color="D2D9E3" w:sz="2" w:space="0"/>
              <w:right w:val="single" w:color="D2D9E3" w:sz="2" w:space="0"/>
            </w:tcBorders>
            <w:shd w:val="clear" w:color="auto" w:fill="EAF0F8"/>
            <w:tcMar>
              <w:top w:w="60" w:type="dxa"/>
              <w:left w:w="55" w:type="dxa"/>
              <w:bottom w:w="60" w:type="dxa"/>
              <w:right w:w="55" w:type="dxa"/>
            </w:tcMar>
          </w:tcPr>
          <w:p w14:paraId="27286D4C">
            <w:pPr>
              <w:jc w:val="center"/>
              <w:rPr>
                <w:rFonts w:hint="default" w:ascii="Calibri" w:hAnsi="Calibri" w:cs="Calibri"/>
              </w:rPr>
            </w:pPr>
            <w:r>
              <w:rPr>
                <w:rFonts w:hint="default" w:ascii="Calibri" w:hAnsi="Calibri" w:cs="Calibri"/>
                <w:b/>
                <w:color w:val="17365D"/>
                <w:sz w:val="26"/>
              </w:rPr>
              <w:t>1.02m</w:t>
            </w:r>
          </w:p>
        </w:tc>
      </w:tr>
      <w:tr w14:paraId="4C7B60C7">
        <w:tblPrEx>
          <w:tblCellMar>
            <w:top w:w="0" w:type="dxa"/>
            <w:left w:w="108" w:type="dxa"/>
            <w:bottom w:w="0" w:type="dxa"/>
            <w:right w:w="108" w:type="dxa"/>
          </w:tblCellMar>
        </w:tblPrEx>
        <w:trPr>
          <w:jc w:val="center"/>
        </w:trPr>
        <w:tc>
          <w:tcPr>
            <w:tcW w:w="2448" w:type="dxa"/>
            <w:tcBorders>
              <w:top w:val="single" w:color="D2D9E3" w:sz="2" w:space="0"/>
              <w:left w:val="single" w:color="D2D9E3" w:sz="2" w:space="0"/>
              <w:bottom w:val="single" w:color="D2D9E3" w:sz="2" w:space="0"/>
              <w:right w:val="single" w:color="D2D9E3" w:sz="2" w:space="0"/>
            </w:tcBorders>
            <w:shd w:val="clear" w:color="auto" w:fill="F5F7FA"/>
            <w:tcMar>
              <w:top w:w="60" w:type="dxa"/>
              <w:left w:w="55" w:type="dxa"/>
              <w:bottom w:w="60" w:type="dxa"/>
              <w:right w:w="55" w:type="dxa"/>
            </w:tcMar>
          </w:tcPr>
          <w:p w14:paraId="03CFABE8">
            <w:pPr>
              <w:jc w:val="center"/>
              <w:rPr>
                <w:rFonts w:hint="default" w:ascii="Calibri" w:hAnsi="Calibri" w:cs="Calibri"/>
              </w:rPr>
            </w:pPr>
            <w:r>
              <w:rPr>
                <w:rFonts w:hint="default" w:ascii="Calibri" w:hAnsi="Calibri" w:cs="Calibri"/>
                <w:b/>
                <w:color w:val="1F2937"/>
                <w:sz w:val="17"/>
              </w:rPr>
              <w:t>Securities</w:t>
            </w:r>
            <w:r>
              <w:rPr>
                <w:rFonts w:hint="default" w:ascii="Calibri" w:hAnsi="Calibri" w:cs="Calibri"/>
                <w:color w:val="6B7280"/>
                <w:sz w:val="14"/>
              </w:rPr>
              <w:br w:type="textWrapping"/>
            </w:r>
            <w:r>
              <w:rPr>
                <w:rFonts w:hint="default" w:ascii="Calibri" w:hAnsi="Calibri" w:cs="Calibri"/>
                <w:color w:val="6B7280"/>
                <w:sz w:val="14"/>
              </w:rPr>
              <w:t>universe + ETFs / baskets</w:t>
            </w:r>
          </w:p>
        </w:tc>
        <w:tc>
          <w:tcPr>
            <w:tcW w:w="2448" w:type="dxa"/>
            <w:tcBorders>
              <w:top w:val="single" w:color="D2D9E3" w:sz="2" w:space="0"/>
              <w:left w:val="single" w:color="D2D9E3" w:sz="2" w:space="0"/>
              <w:bottom w:val="single" w:color="D2D9E3" w:sz="2" w:space="0"/>
              <w:right w:val="single" w:color="D2D9E3" w:sz="2" w:space="0"/>
            </w:tcBorders>
            <w:shd w:val="clear" w:color="auto" w:fill="F5F7FA"/>
            <w:tcMar>
              <w:top w:w="60" w:type="dxa"/>
              <w:left w:w="55" w:type="dxa"/>
              <w:bottom w:w="60" w:type="dxa"/>
              <w:right w:w="55" w:type="dxa"/>
            </w:tcMar>
          </w:tcPr>
          <w:p w14:paraId="65EA5A19">
            <w:pPr>
              <w:jc w:val="center"/>
              <w:rPr>
                <w:rFonts w:hint="default" w:ascii="Calibri" w:hAnsi="Calibri" w:cs="Calibri"/>
              </w:rPr>
            </w:pPr>
            <w:r>
              <w:rPr>
                <w:rFonts w:hint="default" w:ascii="Calibri" w:hAnsi="Calibri" w:cs="Calibri"/>
                <w:b/>
                <w:color w:val="1F2937"/>
                <w:sz w:val="17"/>
              </w:rPr>
              <w:t>Factor set</w:t>
            </w:r>
            <w:r>
              <w:rPr>
                <w:rFonts w:hint="default" w:ascii="Calibri" w:hAnsi="Calibri" w:cs="Calibri"/>
                <w:color w:val="6B7280"/>
                <w:sz w:val="14"/>
              </w:rPr>
              <w:br w:type="textWrapping"/>
            </w:r>
            <w:r>
              <w:rPr>
                <w:rFonts w:hint="default" w:ascii="Calibri" w:hAnsi="Calibri" w:cs="Calibri"/>
                <w:color w:val="6B7280"/>
                <w:sz w:val="14"/>
              </w:rPr>
              <w:t>four nested model levels</w:t>
            </w:r>
          </w:p>
        </w:tc>
        <w:tc>
          <w:tcPr>
            <w:tcW w:w="2448" w:type="dxa"/>
            <w:tcBorders>
              <w:top w:val="single" w:color="D2D9E3" w:sz="2" w:space="0"/>
              <w:left w:val="single" w:color="D2D9E3" w:sz="2" w:space="0"/>
              <w:bottom w:val="single" w:color="D2D9E3" w:sz="2" w:space="0"/>
              <w:right w:val="single" w:color="D2D9E3" w:sz="2" w:space="0"/>
            </w:tcBorders>
            <w:shd w:val="clear" w:color="auto" w:fill="F5F7FA"/>
            <w:tcMar>
              <w:top w:w="60" w:type="dxa"/>
              <w:left w:w="55" w:type="dxa"/>
              <w:bottom w:w="60" w:type="dxa"/>
              <w:right w:w="55" w:type="dxa"/>
            </w:tcMar>
          </w:tcPr>
          <w:p w14:paraId="0BFD3548">
            <w:pPr>
              <w:jc w:val="center"/>
              <w:rPr>
                <w:rFonts w:hint="default" w:ascii="Calibri" w:hAnsi="Calibri" w:cs="Calibri"/>
              </w:rPr>
            </w:pPr>
            <w:r>
              <w:rPr>
                <w:rFonts w:hint="default" w:ascii="Calibri" w:hAnsi="Calibri" w:cs="Calibri"/>
                <w:b/>
                <w:color w:val="1F2937"/>
                <w:sz w:val="17"/>
              </w:rPr>
              <w:t>Price rows</w:t>
            </w:r>
            <w:r>
              <w:rPr>
                <w:rFonts w:hint="default" w:ascii="Calibri" w:hAnsi="Calibri" w:cs="Calibri"/>
                <w:color w:val="6B7280"/>
                <w:sz w:val="14"/>
              </w:rPr>
              <w:br w:type="textWrapping"/>
            </w:r>
            <w:r>
              <w:rPr>
                <w:rFonts w:hint="default" w:ascii="Calibri" w:hAnsi="Calibri" w:cs="Calibri"/>
                <w:color w:val="6B7280"/>
                <w:sz w:val="14"/>
              </w:rPr>
              <w:t>2018-01-02 to 2026-09-04</w:t>
            </w:r>
          </w:p>
        </w:tc>
        <w:tc>
          <w:tcPr>
            <w:tcW w:w="2448" w:type="dxa"/>
            <w:tcBorders>
              <w:top w:val="single" w:color="D2D9E3" w:sz="2" w:space="0"/>
              <w:left w:val="single" w:color="D2D9E3" w:sz="2" w:space="0"/>
              <w:bottom w:val="single" w:color="D2D9E3" w:sz="2" w:space="0"/>
              <w:right w:val="single" w:color="D2D9E3" w:sz="2" w:space="0"/>
            </w:tcBorders>
            <w:shd w:val="clear" w:color="auto" w:fill="F5F7FA"/>
            <w:tcMar>
              <w:top w:w="60" w:type="dxa"/>
              <w:left w:w="55" w:type="dxa"/>
              <w:bottom w:w="60" w:type="dxa"/>
              <w:right w:w="55" w:type="dxa"/>
            </w:tcMar>
          </w:tcPr>
          <w:p w14:paraId="5F83D2CE">
            <w:pPr>
              <w:jc w:val="center"/>
              <w:rPr>
                <w:rFonts w:hint="default" w:ascii="Calibri" w:hAnsi="Calibri" w:cs="Calibri"/>
              </w:rPr>
            </w:pPr>
            <w:r>
              <w:rPr>
                <w:rFonts w:hint="default" w:ascii="Calibri" w:hAnsi="Calibri" w:cs="Calibri"/>
                <w:b/>
                <w:color w:val="1F2937"/>
                <w:sz w:val="17"/>
              </w:rPr>
              <w:t>Exposure rows</w:t>
            </w:r>
            <w:r>
              <w:rPr>
                <w:rFonts w:hint="default" w:ascii="Calibri" w:hAnsi="Calibri" w:cs="Calibri"/>
                <w:color w:val="6B7280"/>
                <w:sz w:val="14"/>
              </w:rPr>
              <w:br w:type="textWrapping"/>
            </w:r>
            <w:r>
              <w:rPr>
                <w:rFonts w:hint="default" w:ascii="Calibri" w:hAnsi="Calibri" w:cs="Calibri"/>
                <w:color w:val="6B7280"/>
                <w:sz w:val="14"/>
              </w:rPr>
              <w:t>selected + unselected betas</w:t>
            </w:r>
          </w:p>
        </w:tc>
      </w:tr>
    </w:tbl>
    <w:p w14:paraId="621BA27C">
      <w:pPr>
        <w:keepLines/>
        <w:spacing w:before="20" w:after="100"/>
        <w:rPr>
          <w:rFonts w:hint="default" w:ascii="Calibri" w:hAnsi="Calibri" w:cs="Calibri"/>
        </w:rPr>
      </w:pPr>
      <w:r>
        <w:rPr>
          <w:rFonts w:hint="default" w:ascii="Calibri" w:hAnsi="Calibri" w:cs="Calibri"/>
          <w:i/>
          <w:color w:val="6B7280"/>
          <w:sz w:val="17"/>
        </w:rPr>
        <w:t>Current POC footprint at the time of writing; the SQLite database is approximately 292 MB.</w:t>
      </w:r>
    </w:p>
    <w:p w14:paraId="403F00A8">
      <w:pPr>
        <w:keepLines/>
        <w:spacing w:after="90" w:line="254" w:lineRule="auto"/>
        <w:rPr>
          <w:rFonts w:hint="default" w:ascii="Calibri" w:hAnsi="Calibri" w:cs="Calibri"/>
        </w:rPr>
      </w:pPr>
      <w:r>
        <w:rPr>
          <w:rFonts w:hint="default" w:ascii="Calibri" w:hAnsi="Calibri" w:cs="Calibri"/>
        </w:rPr>
        <w:t>The important design point is provenance. A methodology fingerprint identifies the canonical factor dataset; refreshing data updates that dataset, while a methodology change creates a new preserved version. Factor panels and stock fits carry checksums so a result can be traced to the price and factor inputs that produced it.</w:t>
      </w:r>
    </w:p>
    <w:p w14:paraId="54C5CDBF">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Historical corrections invalidate downstream fits from the affected date forward.</w:t>
      </w:r>
    </w:p>
    <w:p w14:paraId="527E1ECD">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Execution attempts are stored separately from analytical dataset versions.</w:t>
      </w:r>
    </w:p>
    <w:p w14:paraId="7A30A5FD">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Optimization failures and constraint breaches remain visible rather than being silently replaced.</w:t>
      </w:r>
    </w:p>
    <w:p w14:paraId="144D06A9">
      <w:pPr>
        <w:pStyle w:val="164"/>
        <w:keepLines/>
        <w:spacing w:after="50" w:line="250" w:lineRule="auto"/>
        <w:rPr>
          <w:rFonts w:hint="default" w:ascii="Calibri" w:hAnsi="Calibri" w:cs="Calibri"/>
        </w:rPr>
      </w:pPr>
      <w:r>
        <w:rPr>
          <w:rFonts w:hint="default" w:ascii="Calibri" w:hAnsi="Calibri" w:cs="Calibri"/>
          <w:b/>
          <w:color w:val="2F5597"/>
        </w:rPr>
        <w:t xml:space="preserve">• </w:t>
      </w:r>
      <w:r>
        <w:rPr>
          <w:rFonts w:hint="default" w:ascii="Calibri" w:hAnsi="Calibri" w:cs="Calibri"/>
        </w:rPr>
        <w:t>The current SQLite/WAL design is appropriate for a local POC, but it is a single-writer architecture rather than a production multi-user store.</w:t>
      </w:r>
    </w:p>
    <w:p w14:paraId="54333680">
      <w:pPr>
        <w:pStyle w:val="2"/>
        <w:keepLines/>
        <w:rPr>
          <w:rFonts w:hint="default" w:ascii="Calibri" w:hAnsi="Calibri" w:cs="Calibri"/>
        </w:rPr>
      </w:pPr>
      <w:r>
        <w:rPr>
          <w:rFonts w:hint="default" w:ascii="Calibri" w:hAnsi="Calibri" w:cs="Calibri"/>
        </w:rPr>
        <w:t>11. Main limitations</w:t>
      </w:r>
    </w:p>
    <w:p w14:paraId="2C383CEE">
      <w:pPr>
        <w:keepLines/>
        <w:spacing w:after="90" w:line="254" w:lineRule="auto"/>
        <w:rPr>
          <w:rFonts w:hint="default" w:ascii="Calibri" w:hAnsi="Calibri" w:cs="Calibri"/>
        </w:rPr>
      </w:pPr>
      <w:r>
        <w:rPr>
          <w:rFonts w:hint="default" w:ascii="Calibri" w:hAnsi="Calibri" w:cs="Calibri"/>
        </w:rPr>
        <w:t>The current limitations are material and should stay visible next to any performance result:</w:t>
      </w:r>
    </w:p>
    <w:tbl>
      <w:tblPr>
        <w:tblStyle w:val="12"/>
        <w:tblW w:w="0" w:type="auto"/>
        <w:jc w:val="center"/>
        <w:tblLayout w:type="fixed"/>
        <w:tblCellMar>
          <w:top w:w="0" w:type="dxa"/>
          <w:left w:w="108" w:type="dxa"/>
          <w:bottom w:w="0" w:type="dxa"/>
          <w:right w:w="108" w:type="dxa"/>
        </w:tblCellMar>
      </w:tblPr>
      <w:tblGrid>
        <w:gridCol w:w="5141"/>
        <w:gridCol w:w="5141"/>
      </w:tblGrid>
      <w:tr w14:paraId="483AEA5B">
        <w:tblPrEx>
          <w:tblCellMar>
            <w:top w:w="0" w:type="dxa"/>
            <w:left w:w="108" w:type="dxa"/>
            <w:bottom w:w="0" w:type="dxa"/>
            <w:right w:w="108" w:type="dxa"/>
          </w:tblCellMar>
        </w:tblPrEx>
        <w:trPr>
          <w:cantSplit/>
          <w:tblHeader/>
          <w:jc w:val="center"/>
        </w:trPr>
        <w:tc>
          <w:tcPr>
            <w:tcW w:w="3816"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31C9FD33">
            <w:pPr>
              <w:spacing w:before="0" w:after="0" w:line="240" w:lineRule="auto"/>
              <w:rPr>
                <w:rFonts w:hint="default" w:ascii="Calibri" w:hAnsi="Calibri" w:cs="Calibri"/>
              </w:rPr>
            </w:pPr>
            <w:r>
              <w:rPr>
                <w:rFonts w:hint="default" w:ascii="Calibri" w:hAnsi="Calibri" w:cs="Calibri"/>
                <w:b/>
                <w:color w:val="FFFFFF"/>
                <w:sz w:val="17"/>
              </w:rPr>
              <w:t>Limitation</w:t>
            </w:r>
          </w:p>
        </w:tc>
        <w:tc>
          <w:tcPr>
            <w:tcW w:w="5832"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7E375121">
            <w:pPr>
              <w:spacing w:before="0" w:after="0" w:line="240" w:lineRule="auto"/>
              <w:rPr>
                <w:rFonts w:hint="default" w:ascii="Calibri" w:hAnsi="Calibri" w:cs="Calibri"/>
              </w:rPr>
            </w:pPr>
            <w:r>
              <w:rPr>
                <w:rFonts w:hint="default" w:ascii="Calibri" w:hAnsi="Calibri" w:cs="Calibri"/>
                <w:b/>
                <w:color w:val="FFFFFF"/>
                <w:sz w:val="17"/>
              </w:rPr>
              <w:t>Why it matters</w:t>
            </w:r>
          </w:p>
        </w:tc>
      </w:tr>
      <w:tr w14:paraId="44C2535A">
        <w:tblPrEx>
          <w:tblCellMar>
            <w:top w:w="0" w:type="dxa"/>
            <w:left w:w="108" w:type="dxa"/>
            <w:bottom w:w="0" w:type="dxa"/>
            <w:right w:w="108" w:type="dxa"/>
          </w:tblCellMar>
        </w:tblPrEx>
        <w:trPr>
          <w:cantSplit/>
          <w:jc w:val="center"/>
        </w:trPr>
        <w:tc>
          <w:tcPr>
            <w:tcW w:w="3816"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7AF73555">
            <w:pPr>
              <w:spacing w:before="0" w:after="0" w:line="240" w:lineRule="auto"/>
              <w:rPr>
                <w:rFonts w:hint="default" w:ascii="Calibri" w:hAnsi="Calibri" w:cs="Calibri"/>
              </w:rPr>
            </w:pPr>
            <w:r>
              <w:rPr>
                <w:rFonts w:hint="default" w:ascii="Calibri" w:hAnsi="Calibri" w:cs="Calibri"/>
                <w:color w:val="1F2937"/>
                <w:sz w:val="17"/>
              </w:rPr>
              <w:t>Current S&amp;P 500 membership used historically</w:t>
            </w:r>
          </w:p>
        </w:tc>
        <w:tc>
          <w:tcPr>
            <w:tcW w:w="583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686E3F8E">
            <w:pPr>
              <w:spacing w:before="0" w:after="0" w:line="240" w:lineRule="auto"/>
              <w:rPr>
                <w:rFonts w:hint="default" w:ascii="Calibri" w:hAnsi="Calibri" w:cs="Calibri"/>
              </w:rPr>
            </w:pPr>
            <w:r>
              <w:rPr>
                <w:rFonts w:hint="default" w:ascii="Calibri" w:hAnsi="Calibri" w:cs="Calibri"/>
                <w:color w:val="1F2937"/>
                <w:sz w:val="17"/>
              </w:rPr>
              <w:t>Creates survivorship bias in historical selection and backtests</w:t>
            </w:r>
          </w:p>
        </w:tc>
      </w:tr>
      <w:tr w14:paraId="473DAEEF">
        <w:tblPrEx>
          <w:tblCellMar>
            <w:top w:w="0" w:type="dxa"/>
            <w:left w:w="108" w:type="dxa"/>
            <w:bottom w:w="0" w:type="dxa"/>
            <w:right w:w="108" w:type="dxa"/>
          </w:tblCellMar>
        </w:tblPrEx>
        <w:trPr>
          <w:cantSplit/>
          <w:jc w:val="center"/>
        </w:trPr>
        <w:tc>
          <w:tcPr>
            <w:tcW w:w="3816"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3EC32BFC">
            <w:pPr>
              <w:spacing w:before="0" w:after="0" w:line="240" w:lineRule="auto"/>
              <w:rPr>
                <w:rFonts w:hint="default" w:ascii="Calibri" w:hAnsi="Calibri" w:cs="Calibri"/>
              </w:rPr>
            </w:pPr>
            <w:r>
              <w:rPr>
                <w:rFonts w:hint="default" w:ascii="Calibri" w:hAnsi="Calibri" w:cs="Calibri"/>
                <w:color w:val="1F2937"/>
                <w:sz w:val="17"/>
              </w:rPr>
              <w:t>Yahoo / yfinance price source</w:t>
            </w:r>
          </w:p>
        </w:tc>
        <w:tc>
          <w:tcPr>
            <w:tcW w:w="583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69DBE3F2">
            <w:pPr>
              <w:spacing w:before="0" w:after="0" w:line="240" w:lineRule="auto"/>
              <w:rPr>
                <w:rFonts w:hint="default" w:ascii="Calibri" w:hAnsi="Calibri" w:cs="Calibri"/>
              </w:rPr>
            </w:pPr>
            <w:r>
              <w:rPr>
                <w:rFonts w:hint="default" w:ascii="Calibri" w:hAnsi="Calibri" w:cs="Calibri"/>
                <w:color w:val="1F2937"/>
                <w:sz w:val="17"/>
              </w:rPr>
              <w:t>Useful for a POC, but not institutional data quality</w:t>
            </w:r>
          </w:p>
        </w:tc>
      </w:tr>
      <w:tr w14:paraId="3BA4796E">
        <w:tblPrEx>
          <w:tblCellMar>
            <w:top w:w="0" w:type="dxa"/>
            <w:left w:w="108" w:type="dxa"/>
            <w:bottom w:w="0" w:type="dxa"/>
            <w:right w:w="108" w:type="dxa"/>
          </w:tblCellMar>
        </w:tblPrEx>
        <w:trPr>
          <w:cantSplit/>
          <w:jc w:val="center"/>
        </w:trPr>
        <w:tc>
          <w:tcPr>
            <w:tcW w:w="3816"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075F3C46">
            <w:pPr>
              <w:spacing w:before="0" w:after="0" w:line="240" w:lineRule="auto"/>
              <w:rPr>
                <w:rFonts w:hint="default" w:ascii="Calibri" w:hAnsi="Calibri" w:cs="Calibri"/>
              </w:rPr>
            </w:pPr>
            <w:r>
              <w:rPr>
                <w:rFonts w:hint="default" w:ascii="Calibri" w:hAnsi="Calibri" w:cs="Calibri"/>
                <w:color w:val="1F2937"/>
                <w:sz w:val="17"/>
              </w:rPr>
              <w:t>ETF proxies for several style factors</w:t>
            </w:r>
          </w:p>
        </w:tc>
        <w:tc>
          <w:tcPr>
            <w:tcW w:w="583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76711196">
            <w:pPr>
              <w:spacing w:before="0" w:after="0" w:line="240" w:lineRule="auto"/>
              <w:rPr>
                <w:rFonts w:hint="default" w:ascii="Calibri" w:hAnsi="Calibri" w:cs="Calibri"/>
              </w:rPr>
            </w:pPr>
            <w:r>
              <w:rPr>
                <w:rFonts w:hint="default" w:ascii="Calibri" w:hAnsi="Calibri" w:cs="Calibri"/>
                <w:color w:val="1F2937"/>
                <w:sz w:val="17"/>
              </w:rPr>
              <w:t>Basis risk can weaken the link to the intended stock characteristic</w:t>
            </w:r>
          </w:p>
        </w:tc>
      </w:tr>
      <w:tr w14:paraId="0DE0EC6B">
        <w:tblPrEx>
          <w:tblCellMar>
            <w:top w:w="0" w:type="dxa"/>
            <w:left w:w="108" w:type="dxa"/>
            <w:bottom w:w="0" w:type="dxa"/>
            <w:right w:w="108" w:type="dxa"/>
          </w:tblCellMar>
        </w:tblPrEx>
        <w:trPr>
          <w:cantSplit/>
          <w:jc w:val="center"/>
        </w:trPr>
        <w:tc>
          <w:tcPr>
            <w:tcW w:w="3816"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32B41C8C">
            <w:pPr>
              <w:spacing w:before="0" w:after="0" w:line="240" w:lineRule="auto"/>
              <w:rPr>
                <w:rFonts w:hint="default" w:ascii="Calibri" w:hAnsi="Calibri" w:cs="Calibri"/>
              </w:rPr>
            </w:pPr>
            <w:r>
              <w:rPr>
                <w:rFonts w:hint="default" w:ascii="Calibri" w:hAnsi="Calibri" w:cs="Calibri"/>
                <w:color w:val="1F2937"/>
                <w:sz w:val="17"/>
              </w:rPr>
              <w:t>Fixed thematic baskets</w:t>
            </w:r>
          </w:p>
        </w:tc>
        <w:tc>
          <w:tcPr>
            <w:tcW w:w="583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7586AC12">
            <w:pPr>
              <w:spacing w:before="0" w:after="0" w:line="240" w:lineRule="auto"/>
              <w:rPr>
                <w:rFonts w:hint="default" w:ascii="Calibri" w:hAnsi="Calibri" w:cs="Calibri"/>
              </w:rPr>
            </w:pPr>
            <w:r>
              <w:rPr>
                <w:rFonts w:hint="default" w:ascii="Calibri" w:hAnsi="Calibri" w:cs="Calibri"/>
                <w:color w:val="1F2937"/>
                <w:sz w:val="17"/>
              </w:rPr>
              <w:t>Can contain hindsight, stale membership, and survivorship bias</w:t>
            </w:r>
          </w:p>
        </w:tc>
      </w:tr>
      <w:tr w14:paraId="47D1E667">
        <w:tblPrEx>
          <w:tblCellMar>
            <w:top w:w="0" w:type="dxa"/>
            <w:left w:w="108" w:type="dxa"/>
            <w:bottom w:w="0" w:type="dxa"/>
            <w:right w:w="108" w:type="dxa"/>
          </w:tblCellMar>
        </w:tblPrEx>
        <w:trPr>
          <w:cantSplit/>
          <w:jc w:val="center"/>
        </w:trPr>
        <w:tc>
          <w:tcPr>
            <w:tcW w:w="3816"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54F65C87">
            <w:pPr>
              <w:spacing w:before="0" w:after="0" w:line="240" w:lineRule="auto"/>
              <w:rPr>
                <w:rFonts w:hint="default" w:ascii="Calibri" w:hAnsi="Calibri" w:cs="Calibri"/>
              </w:rPr>
            </w:pPr>
            <w:r>
              <w:rPr>
                <w:rFonts w:hint="default" w:ascii="Calibri" w:hAnsi="Calibri" w:cs="Calibri"/>
                <w:color w:val="1F2937"/>
                <w:sz w:val="17"/>
              </w:rPr>
              <w:t>Return betas are empirical</w:t>
            </w:r>
          </w:p>
        </w:tc>
        <w:tc>
          <w:tcPr>
            <w:tcW w:w="5832"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0EE1A5F1">
            <w:pPr>
              <w:spacing w:before="0" w:after="0" w:line="240" w:lineRule="auto"/>
              <w:rPr>
                <w:rFonts w:hint="default" w:ascii="Calibri" w:hAnsi="Calibri" w:cs="Calibri"/>
              </w:rPr>
            </w:pPr>
            <w:r>
              <w:rPr>
                <w:rFonts w:hint="default" w:ascii="Calibri" w:hAnsi="Calibri" w:cs="Calibri"/>
                <w:color w:val="1F2937"/>
                <w:sz w:val="17"/>
              </w:rPr>
              <w:t>They are backward-looking sensitivities, not proof of causal business exposure</w:t>
            </w:r>
          </w:p>
        </w:tc>
      </w:tr>
      <w:tr w14:paraId="4F45F780">
        <w:tblPrEx>
          <w:tblCellMar>
            <w:top w:w="0" w:type="dxa"/>
            <w:left w:w="108" w:type="dxa"/>
            <w:bottom w:w="0" w:type="dxa"/>
            <w:right w:w="108" w:type="dxa"/>
          </w:tblCellMar>
        </w:tblPrEx>
        <w:trPr>
          <w:cantSplit/>
          <w:jc w:val="center"/>
        </w:trPr>
        <w:tc>
          <w:tcPr>
            <w:tcW w:w="3816"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480D6FB2">
            <w:pPr>
              <w:spacing w:before="0" w:after="0" w:line="240" w:lineRule="auto"/>
              <w:rPr>
                <w:rFonts w:hint="default" w:ascii="Calibri" w:hAnsi="Calibri" w:cs="Calibri"/>
              </w:rPr>
            </w:pPr>
            <w:r>
              <w:rPr>
                <w:rFonts w:hint="default" w:ascii="Calibri" w:hAnsi="Calibri" w:cs="Calibri"/>
                <w:color w:val="1F2937"/>
                <w:sz w:val="17"/>
              </w:rPr>
              <w:t>Short out-of-sample history</w:t>
            </w:r>
          </w:p>
        </w:tc>
        <w:tc>
          <w:tcPr>
            <w:tcW w:w="5832"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30FF5B74">
            <w:pPr>
              <w:spacing w:before="0" w:after="0" w:line="240" w:lineRule="auto"/>
              <w:rPr>
                <w:rFonts w:hint="default" w:ascii="Calibri" w:hAnsi="Calibri" w:cs="Calibri"/>
              </w:rPr>
            </w:pPr>
            <w:r>
              <w:rPr>
                <w:rFonts w:hint="default" w:ascii="Calibri" w:hAnsi="Calibri" w:cs="Calibri"/>
                <w:color w:val="1F2937"/>
                <w:sz w:val="17"/>
              </w:rPr>
              <w:t>Current results are diagnostic, not production evidence</w:t>
            </w:r>
          </w:p>
        </w:tc>
      </w:tr>
    </w:tbl>
    <w:p w14:paraId="2104B345">
      <w:pPr>
        <w:keepLines/>
        <w:spacing w:after="90" w:line="254" w:lineRule="auto"/>
        <w:rPr>
          <w:rFonts w:hint="default" w:ascii="Calibri" w:hAnsi="Calibri" w:cs="Calibri"/>
        </w:rPr>
      </w:pPr>
      <w:r>
        <w:rPr>
          <w:rFonts w:hint="default" w:ascii="Calibri" w:hAnsi="Calibri" w:cs="Calibri"/>
        </w:rPr>
        <w:t>Checksums make the stored result reproducible from the available inputs; they do not make those inputs point-in-time or institutionally complete.</w:t>
      </w:r>
    </w:p>
    <w:p w14:paraId="4DE51034">
      <w:pPr>
        <w:pStyle w:val="2"/>
        <w:keepLines/>
        <w:rPr>
          <w:rFonts w:hint="default" w:ascii="Calibri" w:hAnsi="Calibri" w:cs="Calibri"/>
        </w:rPr>
      </w:pPr>
      <w:r>
        <w:rPr>
          <w:rFonts w:hint="default" w:ascii="Calibri" w:hAnsi="Calibri" w:cs="Calibri"/>
        </w:rPr>
        <w:t>12. Research roadmap</w:t>
      </w:r>
    </w:p>
    <w:tbl>
      <w:tblPr>
        <w:tblStyle w:val="12"/>
        <w:tblW w:w="0" w:type="auto"/>
        <w:jc w:val="center"/>
        <w:tblLayout w:type="fixed"/>
        <w:tblCellMar>
          <w:top w:w="0" w:type="dxa"/>
          <w:left w:w="108" w:type="dxa"/>
          <w:bottom w:w="0" w:type="dxa"/>
          <w:right w:w="108" w:type="dxa"/>
        </w:tblCellMar>
      </w:tblPr>
      <w:tblGrid>
        <w:gridCol w:w="3427"/>
        <w:gridCol w:w="3427"/>
        <w:gridCol w:w="3427"/>
      </w:tblGrid>
      <w:tr w14:paraId="3E8F7CDF">
        <w:tblPrEx>
          <w:tblCellMar>
            <w:top w:w="0" w:type="dxa"/>
            <w:left w:w="108" w:type="dxa"/>
            <w:bottom w:w="0" w:type="dxa"/>
            <w:right w:w="108" w:type="dxa"/>
          </w:tblCellMar>
        </w:tblPrEx>
        <w:trPr>
          <w:cantSplit/>
          <w:tblHeader/>
          <w:jc w:val="center"/>
        </w:trPr>
        <w:tc>
          <w:tcPr>
            <w:tcW w:w="1944"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34BFDA37">
            <w:pPr>
              <w:spacing w:before="0" w:after="0" w:line="240" w:lineRule="auto"/>
              <w:rPr>
                <w:rFonts w:hint="default" w:ascii="Calibri" w:hAnsi="Calibri" w:cs="Calibri"/>
              </w:rPr>
            </w:pPr>
            <w:r>
              <w:rPr>
                <w:rFonts w:hint="default" w:ascii="Calibri" w:hAnsi="Calibri" w:cs="Calibri"/>
                <w:b/>
                <w:color w:val="FFFFFF"/>
                <w:sz w:val="16"/>
              </w:rPr>
              <w:t>Priority</w:t>
            </w:r>
          </w:p>
        </w:tc>
        <w:tc>
          <w:tcPr>
            <w:tcW w:w="4536"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21A73BAC">
            <w:pPr>
              <w:spacing w:before="0" w:after="0" w:line="240" w:lineRule="auto"/>
              <w:rPr>
                <w:rFonts w:hint="default" w:ascii="Calibri" w:hAnsi="Calibri" w:cs="Calibri"/>
              </w:rPr>
            </w:pPr>
            <w:r>
              <w:rPr>
                <w:rFonts w:hint="default" w:ascii="Calibri" w:hAnsi="Calibri" w:cs="Calibri"/>
                <w:b/>
                <w:color w:val="FFFFFF"/>
                <w:sz w:val="16"/>
              </w:rPr>
              <w:t>Next work</w:t>
            </w:r>
          </w:p>
        </w:tc>
        <w:tc>
          <w:tcPr>
            <w:tcW w:w="3168" w:type="dxa"/>
            <w:tcBorders>
              <w:top w:val="single" w:color="D2D9E3" w:sz="2" w:space="0"/>
              <w:left w:val="nil"/>
              <w:bottom w:val="single" w:color="D2D9E3" w:sz="2" w:space="0"/>
              <w:right w:val="nil"/>
            </w:tcBorders>
            <w:shd w:val="clear" w:color="auto" w:fill="17365D"/>
            <w:tcMar>
              <w:top w:w="60" w:type="dxa"/>
              <w:left w:w="75" w:type="dxa"/>
              <w:bottom w:w="60" w:type="dxa"/>
              <w:right w:w="75" w:type="dxa"/>
            </w:tcMar>
            <w:vAlign w:val="center"/>
          </w:tcPr>
          <w:p w14:paraId="1A73FDD1">
            <w:pPr>
              <w:spacing w:before="0" w:after="0" w:line="240" w:lineRule="auto"/>
              <w:rPr>
                <w:rFonts w:hint="default" w:ascii="Calibri" w:hAnsi="Calibri" w:cs="Calibri"/>
              </w:rPr>
            </w:pPr>
            <w:r>
              <w:rPr>
                <w:rFonts w:hint="default" w:ascii="Calibri" w:hAnsi="Calibri" w:cs="Calibri"/>
                <w:b/>
                <w:color w:val="FFFFFF"/>
                <w:sz w:val="16"/>
              </w:rPr>
              <w:t>Why it comes next</w:t>
            </w:r>
          </w:p>
        </w:tc>
      </w:tr>
      <w:tr w14:paraId="621A1D30">
        <w:tblPrEx>
          <w:tblCellMar>
            <w:top w:w="0" w:type="dxa"/>
            <w:left w:w="108" w:type="dxa"/>
            <w:bottom w:w="0" w:type="dxa"/>
            <w:right w:w="108" w:type="dxa"/>
          </w:tblCellMar>
        </w:tblPrEx>
        <w:trPr>
          <w:cantSplit/>
          <w:jc w:val="center"/>
        </w:trPr>
        <w:tc>
          <w:tcPr>
            <w:tcW w:w="1944"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34E81995">
            <w:pPr>
              <w:rPr>
                <w:rFonts w:hint="default" w:ascii="Calibri" w:hAnsi="Calibri" w:cs="Calibri"/>
              </w:rPr>
            </w:pPr>
            <w:r>
              <w:rPr>
                <w:rFonts w:hint="default" w:ascii="Calibri" w:hAnsi="Calibri" w:cs="Calibri"/>
              </w:rPr>
              <w:t>1. Point-in-time data</w:t>
            </w:r>
          </w:p>
        </w:tc>
        <w:tc>
          <w:tcPr>
            <w:tcW w:w="4536"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3919409A">
            <w:pPr>
              <w:rPr>
                <w:rFonts w:hint="default" w:ascii="Calibri" w:hAnsi="Calibri" w:cs="Calibri"/>
              </w:rPr>
            </w:pPr>
            <w:r>
              <w:rPr>
                <w:rFonts w:hint="default" w:ascii="Calibri" w:hAnsi="Calibri" w:cs="Calibri"/>
              </w:rPr>
              <w:t>Historical constituents, delistings, corporate actions, institutional prices</w:t>
            </w:r>
          </w:p>
        </w:tc>
        <w:tc>
          <w:tcPr>
            <w:tcW w:w="3168"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7DB2AD55">
            <w:pPr>
              <w:rPr>
                <w:rFonts w:hint="default" w:ascii="Calibri" w:hAnsi="Calibri" w:cs="Calibri"/>
              </w:rPr>
            </w:pPr>
            <w:r>
              <w:rPr>
                <w:rFonts w:hint="default" w:ascii="Calibri" w:hAnsi="Calibri" w:cs="Calibri"/>
              </w:rPr>
              <w:t>Removes the largest survivorship and look-ahead credibility gap</w:t>
            </w:r>
          </w:p>
        </w:tc>
      </w:tr>
      <w:tr w14:paraId="7D979352">
        <w:tblPrEx>
          <w:tblCellMar>
            <w:top w:w="0" w:type="dxa"/>
            <w:left w:w="108" w:type="dxa"/>
            <w:bottom w:w="0" w:type="dxa"/>
            <w:right w:w="108" w:type="dxa"/>
          </w:tblCellMar>
        </w:tblPrEx>
        <w:trPr>
          <w:cantSplit/>
          <w:jc w:val="center"/>
        </w:trPr>
        <w:tc>
          <w:tcPr>
            <w:tcW w:w="1944"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4E644EAC">
            <w:pPr>
              <w:rPr>
                <w:rFonts w:hint="default" w:ascii="Calibri" w:hAnsi="Calibri" w:cs="Calibri"/>
              </w:rPr>
            </w:pPr>
            <w:r>
              <w:rPr>
                <w:rFonts w:hint="default" w:ascii="Calibri" w:hAnsi="Calibri" w:cs="Calibri"/>
              </w:rPr>
              <w:t>2. Expected returns</w:t>
            </w:r>
          </w:p>
        </w:tc>
        <w:tc>
          <w:tcPr>
            <w:tcW w:w="4536"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4B754D9F">
            <w:pPr>
              <w:rPr>
                <w:rFonts w:hint="default" w:ascii="Calibri" w:hAnsi="Calibri" w:cs="Calibri"/>
              </w:rPr>
            </w:pPr>
            <w:r>
              <w:rPr>
                <w:rFonts w:hint="default" w:ascii="Calibri" w:hAnsi="Calibri" w:cs="Calibri"/>
              </w:rPr>
              <w:t>Longer factor-premium samples, confidence-aware shrinkage, rolling train / validation / test</w:t>
            </w:r>
          </w:p>
        </w:tc>
        <w:tc>
          <w:tcPr>
            <w:tcW w:w="3168"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72BFA9D9">
            <w:pPr>
              <w:rPr>
                <w:rFonts w:hint="default" w:ascii="Calibri" w:hAnsi="Calibri" w:cs="Calibri"/>
              </w:rPr>
            </w:pPr>
            <w:r>
              <w:rPr>
                <w:rFonts w:hint="default" w:ascii="Calibri" w:hAnsi="Calibri" w:cs="Calibri"/>
              </w:rPr>
              <w:t>Current optimizer evidence points to forecast quality as the main bottleneck</w:t>
            </w:r>
          </w:p>
        </w:tc>
      </w:tr>
      <w:tr w14:paraId="1CFB740A">
        <w:tblPrEx>
          <w:tblCellMar>
            <w:top w:w="0" w:type="dxa"/>
            <w:left w:w="108" w:type="dxa"/>
            <w:bottom w:w="0" w:type="dxa"/>
            <w:right w:w="108" w:type="dxa"/>
          </w:tblCellMar>
        </w:tblPrEx>
        <w:trPr>
          <w:cantSplit/>
          <w:jc w:val="center"/>
        </w:trPr>
        <w:tc>
          <w:tcPr>
            <w:tcW w:w="1944"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7C6170BA">
            <w:pPr>
              <w:rPr>
                <w:rFonts w:hint="default" w:ascii="Calibri" w:hAnsi="Calibri" w:cs="Calibri"/>
              </w:rPr>
            </w:pPr>
            <w:r>
              <w:rPr>
                <w:rFonts w:hint="default" w:ascii="Calibri" w:hAnsi="Calibri" w:cs="Calibri"/>
              </w:rPr>
              <w:t>3. Exposure stability</w:t>
            </w:r>
          </w:p>
        </w:tc>
        <w:tc>
          <w:tcPr>
            <w:tcW w:w="4536"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28A93048">
            <w:pPr>
              <w:rPr>
                <w:rFonts w:hint="default" w:ascii="Calibri" w:hAnsi="Calibri" w:cs="Calibri"/>
              </w:rPr>
            </w:pPr>
            <w:r>
              <w:rPr>
                <w:rFonts w:hint="default" w:ascii="Calibri" w:hAnsi="Calibri" w:cs="Calibri"/>
              </w:rPr>
              <w:t>Purged CV, beta turnover, uncertainty estimates, shrinkage priors, redundancy monitoring</w:t>
            </w:r>
          </w:p>
        </w:tc>
        <w:tc>
          <w:tcPr>
            <w:tcW w:w="3168" w:type="dxa"/>
            <w:tcBorders>
              <w:top w:val="single" w:color="D2D9E3" w:sz="2" w:space="0"/>
              <w:left w:val="nil"/>
              <w:bottom w:val="single" w:color="D2D9E3" w:sz="2" w:space="0"/>
              <w:right w:val="nil"/>
            </w:tcBorders>
            <w:tcMar>
              <w:top w:w="60" w:type="dxa"/>
              <w:left w:w="75" w:type="dxa"/>
              <w:bottom w:w="60" w:type="dxa"/>
              <w:right w:w="75" w:type="dxa"/>
            </w:tcMar>
            <w:vAlign w:val="center"/>
          </w:tcPr>
          <w:p w14:paraId="6C402038">
            <w:pPr>
              <w:rPr>
                <w:rFonts w:hint="default" w:ascii="Calibri" w:hAnsi="Calibri" w:cs="Calibri"/>
              </w:rPr>
            </w:pPr>
            <w:r>
              <w:rPr>
                <w:rFonts w:hint="default" w:ascii="Calibri" w:hAnsi="Calibri" w:cs="Calibri"/>
              </w:rPr>
              <w:t>Tests whether the returns-first exposure map is stable enough to use</w:t>
            </w:r>
          </w:p>
        </w:tc>
      </w:tr>
      <w:tr w14:paraId="55EB1982">
        <w:tblPrEx>
          <w:tblCellMar>
            <w:top w:w="0" w:type="dxa"/>
            <w:left w:w="108" w:type="dxa"/>
            <w:bottom w:w="0" w:type="dxa"/>
            <w:right w:w="108" w:type="dxa"/>
          </w:tblCellMar>
        </w:tblPrEx>
        <w:trPr>
          <w:cantSplit/>
          <w:jc w:val="center"/>
        </w:trPr>
        <w:tc>
          <w:tcPr>
            <w:tcW w:w="1944"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40AB5A73">
            <w:pPr>
              <w:rPr>
                <w:rFonts w:hint="default" w:ascii="Calibri" w:hAnsi="Calibri" w:cs="Calibri"/>
              </w:rPr>
            </w:pPr>
            <w:r>
              <w:rPr>
                <w:rFonts w:hint="default" w:ascii="Calibri" w:hAnsi="Calibri" w:cs="Calibri"/>
              </w:rPr>
              <w:t>4. Portfolio realism + governance</w:t>
            </w:r>
          </w:p>
        </w:tc>
        <w:tc>
          <w:tcPr>
            <w:tcW w:w="4536"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0C5BD09B">
            <w:pPr>
              <w:rPr>
                <w:rFonts w:hint="default" w:ascii="Calibri" w:hAnsi="Calibri" w:cs="Calibri"/>
              </w:rPr>
            </w:pPr>
            <w:r>
              <w:rPr>
                <w:rFonts w:hint="default" w:ascii="Calibri" w:hAnsi="Calibri" w:cs="Calibri"/>
              </w:rPr>
              <w:t>Turnover / capacity, active risk, frozen datasets, audit trail, longer regimes, multiple-testing controls</w:t>
            </w:r>
          </w:p>
        </w:tc>
        <w:tc>
          <w:tcPr>
            <w:tcW w:w="3168" w:type="dxa"/>
            <w:tcBorders>
              <w:top w:val="single" w:color="D2D9E3" w:sz="2" w:space="0"/>
              <w:left w:val="nil"/>
              <w:bottom w:val="single" w:color="D2D9E3" w:sz="2" w:space="0"/>
              <w:right w:val="nil"/>
            </w:tcBorders>
            <w:shd w:val="clear" w:color="auto" w:fill="F5F7FA"/>
            <w:tcMar>
              <w:top w:w="60" w:type="dxa"/>
              <w:left w:w="75" w:type="dxa"/>
              <w:bottom w:w="60" w:type="dxa"/>
              <w:right w:w="75" w:type="dxa"/>
            </w:tcMar>
            <w:vAlign w:val="center"/>
          </w:tcPr>
          <w:p w14:paraId="54632712">
            <w:pPr>
              <w:rPr>
                <w:rFonts w:hint="default" w:ascii="Calibri" w:hAnsi="Calibri" w:cs="Calibri"/>
              </w:rPr>
            </w:pPr>
            <w:r>
              <w:rPr>
                <w:rFonts w:hint="default" w:ascii="Calibri" w:hAnsi="Calibri" w:cs="Calibri"/>
              </w:rPr>
              <w:t>Turns a good research engine into credible investment evidence</w:t>
            </w:r>
          </w:p>
        </w:tc>
      </w:tr>
    </w:tbl>
    <w:p w14:paraId="1E091AC8">
      <w:pPr>
        <w:spacing w:before="80" w:after="100" w:line="252" w:lineRule="auto"/>
        <w:rPr>
          <w:rFonts w:hint="default" w:ascii="Calibri" w:hAnsi="Calibri" w:cs="Calibri"/>
        </w:rPr>
      </w:pPr>
      <w:r>
        <w:rPr>
          <w:rFonts w:hint="default" w:ascii="Calibri" w:hAnsi="Calibri" w:cs="Calibri"/>
          <w:b/>
          <w:color w:val="17365D"/>
        </w:rPr>
        <w:t xml:space="preserve">Optional future extension: </w:t>
      </w:r>
      <w:r>
        <w:rPr>
          <w:rFonts w:hint="default" w:ascii="Calibri" w:hAnsi="Calibri" w:cs="Calibri"/>
        </w:rPr>
        <w:t>add a dedicated PM macro / thematic scenario layer once the core factor-view and expected-return evidence is stronger. That extension could translate explicit PM scenarios into conditional factor shocks and portfolio constraints without changing the core returns-first stock-selection process.</w:t>
      </w:r>
    </w:p>
    <w:p w14:paraId="43A5B6CE">
      <w:pPr>
        <w:pStyle w:val="2"/>
        <w:keepLines/>
        <w:rPr>
          <w:rFonts w:hint="default" w:ascii="Calibri" w:hAnsi="Calibri" w:cs="Calibri"/>
        </w:rPr>
      </w:pPr>
      <w:r>
        <w:rPr>
          <w:rFonts w:hint="default" w:ascii="Calibri" w:hAnsi="Calibri" w:cs="Calibri"/>
        </w:rPr>
        <w:t>13. Final interpretation</w:t>
      </w:r>
    </w:p>
    <w:p w14:paraId="34829FF3">
      <w:pPr>
        <w:keepLines/>
        <w:spacing w:after="90" w:line="254" w:lineRule="auto"/>
        <w:rPr>
          <w:rFonts w:hint="default" w:ascii="Calibri" w:hAnsi="Calibri" w:cs="Calibri"/>
        </w:rPr>
      </w:pPr>
      <w:r>
        <w:rPr>
          <w:rFonts w:hint="default" w:ascii="Calibri" w:hAnsi="Calibri" w:cs="Calibri"/>
        </w:rPr>
        <w:t>QuantLab's thesis is simple: form a point-in-time factor view, rank stocks by estimated sensitivity, and size the selected names with explicit risk controls. The POC's value is the disciplined research chain rather than a claim of live alpha. The key next test is whether the returns-first score adds incremental value beside a bottom-up model and a separate Barra-style risk model - not whether it can replicate Barra.</w:t>
      </w:r>
    </w:p>
    <w:sectPr>
      <w:headerReference r:id="rId5" w:type="default"/>
      <w:footerReference r:id="rId6" w:type="default"/>
      <w:pgSz w:w="12240" w:h="15840"/>
      <w:pgMar w:top="835" w:right="979" w:bottom="835" w:left="979" w:header="360"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97A5B">
    <w:pPr>
      <w:pStyle w:val="18"/>
      <w:tabs>
        <w:tab w:val="right" w:pos="9504"/>
      </w:tabs>
      <w:jc w:val="left"/>
    </w:pPr>
  </w:p>
  <w:tbl>
    <w:tblPr>
      <w:tblStyle w:val="12"/>
      <w:tblW w:w="0" w:type="auto"/>
      <w:jc w:val="center"/>
      <w:tblLayout w:type="fixed"/>
      <w:tblCellMar>
        <w:top w:w="0" w:type="dxa"/>
        <w:left w:w="108" w:type="dxa"/>
        <w:bottom w:w="0" w:type="dxa"/>
        <w:right w:w="108" w:type="dxa"/>
      </w:tblCellMar>
    </w:tblPr>
    <w:tblGrid>
      <w:gridCol w:w="8136"/>
      <w:gridCol w:w="1656"/>
    </w:tblGrid>
    <w:tr w14:paraId="33145808">
      <w:tblPrEx>
        <w:tblCellMar>
          <w:top w:w="0" w:type="dxa"/>
          <w:left w:w="108" w:type="dxa"/>
          <w:bottom w:w="0" w:type="dxa"/>
          <w:right w:w="108" w:type="dxa"/>
        </w:tblCellMar>
      </w:tblPrEx>
      <w:trPr>
        <w:jc w:val="center"/>
      </w:trPr>
      <w:tc>
        <w:tcPr>
          <w:tcW w:w="8136" w:type="dxa"/>
          <w:tcBorders>
            <w:top w:val="nil"/>
            <w:left w:val="nil"/>
            <w:bottom w:val="nil"/>
            <w:right w:val="nil"/>
            <w:insideH w:val="nil"/>
            <w:insideV w:val="nil"/>
          </w:tcBorders>
          <w:vAlign w:val="center"/>
        </w:tcPr>
        <w:p w14:paraId="26CFBEEE">
          <w:pPr>
            <w:jc w:val="left"/>
          </w:pPr>
        </w:p>
      </w:tc>
      <w:tc>
        <w:tcPr>
          <w:tcW w:w="1656" w:type="dxa"/>
          <w:tcBorders>
            <w:top w:val="nil"/>
            <w:left w:val="nil"/>
            <w:bottom w:val="nil"/>
            <w:right w:val="nil"/>
            <w:insideH w:val="nil"/>
            <w:insideV w:val="nil"/>
          </w:tcBorders>
          <w:vAlign w:val="center"/>
        </w:tcPr>
        <w:p w14:paraId="191AB1BC">
          <w:pPr>
            <w:jc w:val="right"/>
          </w:pPr>
          <w:r>
            <w:rPr>
              <w:rFonts w:ascii="Aptos" w:hAnsi="Aptos"/>
              <w:color w:val="6B7280"/>
              <w:sz w:val="15"/>
            </w:rPr>
            <w:t xml:space="preserve">Page </w:t>
          </w:r>
          <w:r>
            <w:fldChar w:fldCharType="begin"/>
          </w:r>
          <w:r>
            <w:instrText xml:space="preserve">PAGE</w:instrText>
          </w:r>
          <w:r>
            <w:fldChar w:fldCharType="separate"/>
          </w:r>
          <w:r>
            <w:rPr>
              <w:color w:val="6B7280"/>
              <w:sz w:val="15"/>
            </w:rPr>
            <w:t>1</w:t>
          </w:r>
          <w:r>
            <w:rPr>
              <w:color w:val="6B7280"/>
              <w:sz w:val="15"/>
            </w:rPr>
            <w:fldChar w:fldCharType="end"/>
          </w:r>
        </w:p>
      </w:tc>
    </w:tr>
  </w:tbl>
  <w:p w14:paraId="5407F1D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4" w:lineRule="auto"/>
      </w:pPr>
      <w:r>
        <w:separator/>
      </w:r>
    </w:p>
  </w:footnote>
  <w:footnote w:type="continuationSeparator" w:id="1">
    <w:p>
      <w:pPr>
        <w:spacing w:before="0" w:after="0" w:line="25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4C228">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FE5A7F"/>
    <w:rsid w:val="5B9A1552"/>
    <w:rsid w:val="79C606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90" w:line="254" w:lineRule="auto"/>
    </w:pPr>
    <w:rPr>
      <w:rFonts w:ascii="Aptos" w:hAnsi="Aptos" w:eastAsiaTheme="minorEastAsia" w:cstheme="minorBidi"/>
      <w:color w:val="1F2937"/>
      <w:sz w:val="20"/>
      <w:szCs w:val="22"/>
      <w:lang w:val="en-US" w:eastAsia="en-US" w:bidi="ar-SA"/>
    </w:rPr>
  </w:style>
  <w:style w:type="paragraph" w:styleId="2">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17365D"/>
      <w:sz w:val="31"/>
      <w:szCs w:val="28"/>
    </w:rPr>
  </w:style>
  <w:style w:type="paragraph" w:styleId="3">
    <w:name w:val="heading 2"/>
    <w:basedOn w:val="1"/>
    <w:next w:val="1"/>
    <w:link w:val="139"/>
    <w:unhideWhenUsed/>
    <w:qFormat/>
    <w:uiPriority w:val="9"/>
    <w:pPr>
      <w:keepNext/>
      <w:keepLines/>
      <w:spacing w:before="160" w:after="60"/>
      <w:outlineLvl w:val="1"/>
    </w:pPr>
    <w:rPr>
      <w:rFonts w:asciiTheme="majorHAnsi" w:hAnsiTheme="majorHAnsi" w:eastAsiaTheme="majorEastAsia" w:cstheme="majorBidi"/>
      <w:b/>
      <w:bCs/>
      <w:color w:val="17365D"/>
      <w:sz w:val="23"/>
      <w:szCs w:val="26"/>
    </w:rPr>
  </w:style>
  <w:style w:type="paragraph" w:styleId="4">
    <w:name w:val="heading 3"/>
    <w:basedOn w:val="1"/>
    <w:next w:val="1"/>
    <w:link w:val="140"/>
    <w:unhideWhenUsed/>
    <w:qFormat/>
    <w:uiPriority w:val="9"/>
    <w:pPr>
      <w:keepNext/>
      <w:keepLines/>
      <w:spacing w:before="120" w:after="40"/>
      <w:outlineLvl w:val="2"/>
    </w:pPr>
    <w:rPr>
      <w:rFonts w:asciiTheme="majorHAnsi" w:hAnsiTheme="majorHAnsi" w:eastAsiaTheme="majorEastAsia" w:cstheme="majorBidi"/>
      <w:b/>
      <w:bCs/>
      <w:color w:val="17365D"/>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Body Bullet"/>
    <w:basedOn w:val="1"/>
    <w:qFormat/>
    <w:uiPriority w:val="0"/>
    <w:pPr>
      <w:spacing w:after="50"/>
      <w:ind w:left="288" w:hanging="202"/>
    </w:pPr>
    <w:rPr>
      <w:rFonts w:ascii="Aptos" w:hAnsi="Aptos"/>
      <w:sz w:val="20"/>
    </w:rPr>
  </w:style>
  <w:style w:type="paragraph" w:customStyle="1" w:styleId="165">
    <w:name w:val="Body Number"/>
    <w:basedOn w:val="1"/>
    <w:qFormat/>
    <w:uiPriority w:val="0"/>
    <w:pPr>
      <w:ind w:left="288" w:hanging="202"/>
    </w:pPr>
    <w:rPr>
      <w:rFonts w:ascii="Aptos" w:hAnsi="Aptos"/>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2957</Words>
  <Characters>17751</Characters>
  <Lines>0</Lines>
  <Paragraphs>0</Paragraphs>
  <TotalTime>30</TotalTime>
  <ScaleCrop>false</ScaleCrop>
  <LinksUpToDate>false</LinksUpToDate>
  <CharactersWithSpaces>20384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Mario He</dc:creator>
  <dc:description>generated by python-docx</dc:description>
  <cp:keywords>QuantLab, factor model, stock selection, portfolio optimization, backtesting</cp:keywords>
  <cp:lastModifiedBy>Mario He</cp:lastModifiedBy>
  <dcterms:modified xsi:type="dcterms:W3CDTF">2026-09-08T06:03:29Z</dcterms:modified>
  <dc:subject>Investment strategy and research guide - streamlined POC</dc:subject>
  <dc:title>QuantLab: Top-Down Factor Strategy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eyJoZGlkIjoiZmMxNGY5YmU3YmEwMWNjNmI3ZWU1NzY0NDFhZjUxNTEiLCJ1c2VySWQiOiIxNTY2ODA0Mzg1Njk4MSJ9</vt:lpwstr>
  </property>
  <property fmtid="{D5CDD505-2E9C-101B-9397-08002B2CF9AE}" pid="3" name="KSOProductBuildVer">
    <vt:lpwstr>1033-12.1.0.28032</vt:lpwstr>
  </property>
  <property fmtid="{D5CDD505-2E9C-101B-9397-08002B2CF9AE}" pid="4" name="ICV">
    <vt:lpwstr>DD38CAE38BE1438EB91087EC53A9522E_12</vt:lpwstr>
  </property>
</Properties>
</file>