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EB Garamond ExtraBold" w:cs="EB Garamond ExtraBold" w:ascii="EB Garamond ExtraBold" w:hAnsi="EB Garamond ExtraBold"/>
          <w:sz w:val="24"/>
          <w:szCs w:val="24"/>
        </w:rPr>
        <w:t>LICITAÇÕES LEI N° 14.133/21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794885" cy="2801620"/>
            <wp:effectExtent l="0" t="0" r="0" b="0"/>
            <wp:docPr id="1" name="image1.png" descr="O que é Licitação? » Effecti | Tecnologia para Licit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 que é Licitação? » Effecti | Tecnologia para Licitante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Regime jurídico-administrativo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 conjunto formado por todos os princípios e regras pertencentes ao Direito Administrativo denomina-se tecnicamente regime jurídico-administrativo. Já a expressão regime jurídico da Administração designa os regimes de direito público e de direito privado aplicáveis à Administração.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Conceito de licitação:</w:t>
      </w:r>
    </w:p>
    <w:p>
      <w:pPr>
        <w:pStyle w:val="Normal"/>
        <w:spacing w:lineRule="auto" w:line="36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É o procedimento administrativo pelo qual um ente público, no exercício da função administrativa, abre a todos os interessados, que se sujeitem às condições fixadas no instrumento convocatório, a possibilidade de formularem propostas dentre as quais selecionará e aceitará a mais conveniente para celebração do contrato.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  <w:highlight w:val="white"/>
        </w:rPr>
        <w:t>Objetivos da licitação: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 </w:t>
      </w: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atender o interesse público, buscar a proposta mais vantajosa, proporcionar</w:t>
      </w:r>
      <w:r>
        <w:rPr>
          <w:rFonts w:eastAsia="Arial" w:cs="Arial" w:ascii="Arial" w:hAnsi="Arial"/>
          <w:sz w:val="24"/>
          <w:szCs w:val="24"/>
          <w:highlight w:val="white"/>
        </w:rPr>
        <w:t xml:space="preserve"> </w:t>
      </w: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igualdade de condiçõe</w:t>
      </w:r>
      <w:r>
        <w:rPr>
          <w:rFonts w:eastAsia="Arial" w:cs="Arial" w:ascii="Arial" w:hAnsi="Arial"/>
          <w:sz w:val="24"/>
          <w:szCs w:val="24"/>
          <w:highlight w:val="white"/>
        </w:rPr>
        <w:t>s</w:t>
      </w: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 xml:space="preserve">, </w:t>
      </w:r>
      <w:r>
        <w:rPr>
          <w:rFonts w:eastAsia="Arial" w:cs="Arial" w:ascii="Arial" w:hAnsi="Arial"/>
          <w:sz w:val="24"/>
          <w:szCs w:val="24"/>
          <w:highlight w:val="white"/>
        </w:rPr>
        <w:t>evitar sobrepreços, preços manifestamente inexequíveis e superfaturamento; além de incentivar a inovação e promover o desenvolvimento nacional sustentável,</w:t>
      </w: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 xml:space="preserve"> bem como os demais princípios resguardados pelo Texto Constitucional.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 w:ascii="Arial" w:hAnsi="Arial"/>
          <w:color w:val="000000"/>
          <w:sz w:val="24"/>
          <w:szCs w:val="24"/>
          <w:highlight w:val="white"/>
        </w:rPr>
      </w:r>
    </w:p>
    <w:p>
      <w:pPr>
        <w:pStyle w:val="Normal"/>
        <w:tabs>
          <w:tab w:val="clear" w:pos="720"/>
          <w:tab w:val="center" w:pos="4252" w:leader="none"/>
          <w:tab w:val="left" w:pos="7020" w:leader="none"/>
        </w:tabs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  <w:highlight w:val="white"/>
        </w:rPr>
      </w:pPr>
      <w:r>
        <w:rPr>
          <w:rFonts w:eastAsia="Arial" w:cs="Arial" w:ascii="Arial" w:hAnsi="Arial"/>
          <w:color w:val="000000"/>
          <w:sz w:val="24"/>
          <w:szCs w:val="24"/>
          <w:highlight w:val="white"/>
        </w:rPr>
        <mc:AlternateContent>
          <mc:Choice Requires="wps">
            <w:drawing>
              <wp:anchor behindDoc="0" distT="13335" distB="12700" distL="12700" distR="13335" simplePos="0" locked="0" layoutInCell="1" allowOverlap="1" relativeHeight="9" wp14:anchorId="0E095291">
                <wp:simplePos x="0" y="0"/>
                <wp:positionH relativeFrom="column">
                  <wp:posOffset>1240155</wp:posOffset>
                </wp:positionH>
                <wp:positionV relativeFrom="paragraph">
                  <wp:posOffset>-143510</wp:posOffset>
                </wp:positionV>
                <wp:extent cx="1003300" cy="509905"/>
                <wp:effectExtent l="12700" t="13335" r="13335" b="12700"/>
                <wp:wrapNone/>
                <wp:docPr id="2" name="Seta para a direit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20" cy="5097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25400">
                          <a:solidFill>
                            <a:srgbClr val="395e8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eta para a direita 1" path="l-2147483635,-2147483631l-2147483635,0l-2147483622,-2147483632l-2147483635,-2147483623l-2147483635,-2147483629l0,-2147483629xe" fillcolor="#4f81bd" stroked="t" o:allowincell="f" style="position:absolute;margin-left:97.65pt;margin-top:-11.3pt;width:78.95pt;height:40.1pt;mso-wrap-style:none;v-text-anchor:middle" wp14:anchorId="0E095291" type="_x0000_t13">
                <v:fill o:detectmouseclick="t" type="solid" color2="#b07e42"/>
                <v:stroke color="#395e89" weight="25560" joinstyle="round" endcap="flat"/>
                <v:textbox>
                  <w:txbxContent>
                    <w:p>
                      <w:pPr>
                        <w:pStyle w:val="Contedodoquadro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  <w:t xml:space="preserve"> </w:t>
      </w: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Poder Público</w:t>
        <w:tab/>
        <w:t>Edital</w:t>
      </w:r>
      <w:r>
        <mc:AlternateContent>
          <mc:Choice Requires="wps">
            <w:drawing>
              <wp:anchor behindDoc="0" distT="13335" distB="12700" distL="12700" distR="13970" simplePos="0" locked="0" layoutInCell="1" allowOverlap="1" relativeHeight="11" wp14:anchorId="2A422522">
                <wp:simplePos x="0" y="0"/>
                <wp:positionH relativeFrom="column">
                  <wp:posOffset>3305175</wp:posOffset>
                </wp:positionH>
                <wp:positionV relativeFrom="paragraph">
                  <wp:posOffset>-135890</wp:posOffset>
                </wp:positionV>
                <wp:extent cx="1003300" cy="509905"/>
                <wp:effectExtent l="12700" t="13335" r="13970" b="12700"/>
                <wp:wrapNone/>
                <wp:docPr id="3" name="Seta para a direit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20" cy="5097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25400">
                          <a:solidFill>
                            <a:srgbClr val="395e8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eta para a direita 2" path="l-2147483635,-2147483631l-2147483635,0l-2147483622,-2147483632l-2147483635,-2147483623l-2147483635,-2147483629l0,-2147483629xe" fillcolor="#4f81bd" stroked="t" o:allowincell="f" style="position:absolute;margin-left:260.25pt;margin-top:-10.7pt;width:78.95pt;height:40.1pt;mso-wrap-style:none;v-text-anchor:middle" wp14:anchorId="2A422522" type="_x0000_t13">
                <v:fill o:detectmouseclick="t" type="solid" color2="#b07e42"/>
                <v:stroke color="#395e89" weight="25560" joinstyle="round" endcap="flat"/>
                <v:textbox>
                  <w:txbxContent>
                    <w:p>
                      <w:pPr>
                        <w:pStyle w:val="Contedodoquadro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ab/>
        <w:t>Licitantes</w:t>
      </w:r>
    </w:p>
    <w:p>
      <w:pPr>
        <w:pStyle w:val="Normal"/>
        <w:ind w:right="39"/>
        <w:jc w:val="center"/>
        <w:rPr>
          <w:rFonts w:ascii="Arial" w:hAnsi="Arial" w:cs="Arial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 wp14:anchorId="33D45961">
                <wp:extent cx="304800" cy="304800"/>
                <wp:effectExtent l="0" t="0" r="0" b="0"/>
                <wp:docPr id="4" name="Retângulo 1" descr="EDITAL DE LICITACAO MODALIDADE PREGAO PRESENCIAL Nº. 013 -2019 ORIGINAL -  Prefeitura Municipal de Afuá - PA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Retângulo 1" path="m0,0l-2147483645,0l-2147483645,-2147483646l0,-2147483646xe" stroked="f" o:allowincell="f" style="position:absolute;margin-left:0pt;margin-top:-24.05pt;width:23.95pt;height:23.95pt;mso-wrap-style:none;v-text-anchor:middle;mso-position-vertical:top" wp14:anchorId="33D45961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right="39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drawing>
          <wp:anchor behindDoc="1" distT="0" distB="0" distL="0" distR="0" simplePos="0" locked="0" layoutInCell="1" allowOverlap="1" relativeHeight="13">
            <wp:simplePos x="0" y="0"/>
            <wp:positionH relativeFrom="column">
              <wp:posOffset>10160</wp:posOffset>
            </wp:positionH>
            <wp:positionV relativeFrom="paragraph">
              <wp:posOffset>86360</wp:posOffset>
            </wp:positionV>
            <wp:extent cx="5667375" cy="561975"/>
            <wp:effectExtent l="0" t="0" r="0" b="0"/>
            <wp:wrapNone/>
            <wp:docPr id="5" name="image1.png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 Copia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right="39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39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39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EDITAL DE</w:t>
      </w:r>
      <w:r>
        <w:rPr>
          <w:rFonts w:cs="Arial" w:ascii="Arial" w:hAnsi="Arial"/>
          <w:b/>
          <w:spacing w:val="-2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CONCORRÊNCIA</w:t>
      </w:r>
      <w:r>
        <w:rPr>
          <w:rFonts w:cs="Arial" w:ascii="Arial" w:hAnsi="Arial"/>
          <w:b/>
          <w:spacing w:val="-2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PÚBLICA</w:t>
      </w:r>
      <w:r>
        <w:rPr>
          <w:rFonts w:cs="Arial" w:ascii="Arial" w:hAnsi="Arial"/>
          <w:b/>
          <w:spacing w:val="-3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Nº</w:t>
      </w:r>
      <w:r>
        <w:rPr>
          <w:rFonts w:cs="Arial" w:ascii="Arial" w:hAnsi="Arial"/>
          <w:b/>
          <w:spacing w:val="3"/>
          <w:sz w:val="24"/>
          <w:szCs w:val="24"/>
        </w:rPr>
        <w:t xml:space="preserve"> </w:t>
      </w:r>
      <w:r>
        <w:rPr>
          <w:rFonts w:cs="Arial" w:ascii="Arial" w:hAnsi="Arial"/>
          <w:b/>
          <w:spacing w:val="-2"/>
          <w:sz w:val="24"/>
          <w:szCs w:val="24"/>
        </w:rPr>
        <w:t>8/2024</w:t>
      </w:r>
    </w:p>
    <w:p>
      <w:pPr>
        <w:pStyle w:val="BodyText"/>
        <w:ind w:left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221" w:right="4135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EDITAL DE LICITAÇÃO Nº 33/2024 PROCESSO LICITATÓRIO Nº 33/2024 CONCORRÊNCIA</w:t>
      </w:r>
      <w:r>
        <w:rPr>
          <w:rFonts w:cs="Arial" w:ascii="Arial" w:hAnsi="Arial"/>
          <w:b/>
          <w:spacing w:val="-12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ELETRÔNICA</w:t>
      </w:r>
      <w:r>
        <w:rPr>
          <w:rFonts w:cs="Arial" w:ascii="Arial" w:hAnsi="Arial"/>
          <w:b/>
          <w:spacing w:val="-12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Nº</w:t>
      </w:r>
      <w:r>
        <w:rPr>
          <w:rFonts w:cs="Arial" w:ascii="Arial" w:hAnsi="Arial"/>
          <w:b/>
          <w:spacing w:val="-12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8/2024</w:t>
      </w:r>
    </w:p>
    <w:p>
      <w:pPr>
        <w:pStyle w:val="BodyText"/>
        <w:spacing w:before="120" w:after="0"/>
        <w:ind w:left="0"/>
        <w:rPr>
          <w:rFonts w:ascii="Arial" w:hAnsi="Arial" w:cs="Arial"/>
          <w:b/>
        </w:rPr>
      </w:pPr>
      <w:r>
        <w:rPr>
          <w:rFonts w:cs="Arial" w:ascii="Arial" w:hAnsi="Arial"/>
          <w:b/>
        </w:rPr>
        <mc:AlternateContent>
          <mc:Choice Requires="wpg">
            <w:drawing>
              <wp:anchor behindDoc="0" distT="0" distB="0" distL="0" distR="0" simplePos="0" locked="0" layoutInCell="0" allowOverlap="1" relativeHeight="7" wp14:anchorId="50E5C689">
                <wp:simplePos x="0" y="0"/>
                <wp:positionH relativeFrom="page">
                  <wp:posOffset>1062355</wp:posOffset>
                </wp:positionH>
                <wp:positionV relativeFrom="paragraph">
                  <wp:posOffset>237490</wp:posOffset>
                </wp:positionV>
                <wp:extent cx="5793105" cy="212090"/>
                <wp:effectExtent l="0" t="0" r="0" b="0"/>
                <wp:wrapTopAndBottom/>
                <wp:docPr id="6" name="Grupo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120" cy="212040"/>
                          <a:chOff x="0" y="0"/>
                          <a:chExt cx="5793120" cy="212040"/>
                        </a:xfrm>
                      </wpg:grpSpPr>
                      <wps:wsp>
                        <wps:cNvPr id="7" name="Graphic 4"/>
                        <wps:cNvSpPr/>
                        <wps:spPr>
                          <a:xfrm>
                            <a:off x="0" y="6480"/>
                            <a:ext cx="5793120" cy="200160"/>
                          </a:xfrm>
                          <a:custGeom>
                            <a:avLst/>
                            <a:gdLst>
                              <a:gd name="textAreaLeft" fmla="*/ 0 w 3284280"/>
                              <a:gd name="textAreaRight" fmla="*/ 3285000 w 3284280"/>
                              <a:gd name="textAreaTop" fmla="*/ 0 h 113400"/>
                              <a:gd name="textAreaBottom" fmla="*/ 114120 h 113400"/>
                            </a:gdLst>
                            <a:ahLst/>
                            <a:rect l="textAreaLeft" t="textAreaTop" r="textAreaRight" b="textAreaBottom"/>
                            <a:pathLst>
                              <a:path w="5793105" h="200025">
                                <a:moveTo>
                                  <a:pt x="5792723" y="199643"/>
                                </a:moveTo>
                                <a:lnTo>
                                  <a:pt x="0" y="199643"/>
                                </a:lnTo>
                                <a:lnTo>
                                  <a:pt x="0" y="0"/>
                                </a:lnTo>
                                <a:lnTo>
                                  <a:pt x="5792723" y="0"/>
                                </a:lnTo>
                                <a:lnTo>
                                  <a:pt x="5792723" y="199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Graphic 5"/>
                        <wps:cNvSpPr/>
                        <wps:spPr>
                          <a:xfrm>
                            <a:off x="0" y="0"/>
                            <a:ext cx="5793120" cy="212040"/>
                          </a:xfrm>
                          <a:custGeom>
                            <a:avLst/>
                            <a:gdLst>
                              <a:gd name="textAreaLeft" fmla="*/ 0 w 3284280"/>
                              <a:gd name="textAreaRight" fmla="*/ 3285000 w 3284280"/>
                              <a:gd name="textAreaTop" fmla="*/ 0 h 120240"/>
                              <a:gd name="textAreaBottom" fmla="*/ 120960 h 120240"/>
                            </a:gdLst>
                            <a:ahLst/>
                            <a:rect l="textAreaLeft" t="textAreaTop" r="textAreaRight" b="textAreaBottom"/>
                            <a:pathLst>
                              <a:path w="5793105" h="212090">
                                <a:moveTo>
                                  <a:pt x="5792724" y="205740"/>
                                </a:moveTo>
                                <a:lnTo>
                                  <a:pt x="0" y="205740"/>
                                </a:lnTo>
                                <a:lnTo>
                                  <a:pt x="0" y="211836"/>
                                </a:lnTo>
                                <a:lnTo>
                                  <a:pt x="5792724" y="211836"/>
                                </a:lnTo>
                                <a:lnTo>
                                  <a:pt x="5792724" y="205740"/>
                                </a:lnTo>
                                <a:close/>
                              </a:path>
                              <a:path w="5793105" h="212090">
                                <a:moveTo>
                                  <a:pt x="5792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792724" y="6096"/>
                                </a:lnTo>
                                <a:lnTo>
                                  <a:pt x="579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Textbox 6"/>
                        <wps:cNvSpPr/>
                        <wps:spPr>
                          <a:xfrm>
                            <a:off x="0" y="6480"/>
                            <a:ext cx="5793120" cy="200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before="18" w:after="200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PREÂMBULO: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4" style="position:absolute;margin-left:83.65pt;margin-top:18.7pt;width:456.15pt;height:16.7pt" coordorigin="1673,374" coordsize="9123,334">
                <v:rect id="shape_0" ID="Textbox 6" path="m0,0l-2147483645,0l-2147483645,-2147483646l0,-2147483646xe" stroked="f" o:allowincell="f" style="position:absolute;left:1673;top:384;width:9122;height:314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before="18" w:after="200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PREÂMBULO:</w:t>
                        </w:r>
                      </w:p>
                    </w:txbxContent>
                  </v:textbox>
                  <w10:wrap type="topAndBottom"/>
                </v:rect>
              </v:group>
            </w:pict>
          </mc:Fallback>
        </mc:AlternateContent>
      </w:r>
    </w:p>
    <w:p>
      <w:pPr>
        <w:pStyle w:val="BodyText"/>
        <w:ind w:left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BodyText"/>
        <w:spacing w:before="3" w:after="0"/>
        <w:ind w:left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1" w:after="200"/>
        <w:ind w:left="221" w:right="256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 MUNICÍPIO DE PARANAÍBA, através do Agente de Contratação, designado pelo </w:t>
      </w:r>
      <w:r>
        <w:rPr>
          <w:rFonts w:cs="Arial" w:ascii="Arial" w:hAnsi="Arial"/>
          <w:b/>
          <w:sz w:val="24"/>
          <w:szCs w:val="24"/>
        </w:rPr>
        <w:t>DECRETO Nº 1210/2024, DE 12 DE JANEIRO DE 2024</w:t>
      </w:r>
      <w:r>
        <w:rPr>
          <w:rFonts w:cs="Arial" w:ascii="Arial" w:hAnsi="Arial"/>
          <w:sz w:val="24"/>
          <w:szCs w:val="24"/>
        </w:rPr>
        <w:t xml:space="preserve">, publicado no Diário Oficial do Município n° 3508, torna público, para conhecimento dos interessados, que realizará licitação na modalidade </w:t>
      </w:r>
      <w:r>
        <w:rPr>
          <w:rFonts w:cs="Arial" w:ascii="Arial" w:hAnsi="Arial"/>
          <w:b/>
          <w:sz w:val="24"/>
          <w:szCs w:val="24"/>
        </w:rPr>
        <w:t>CONCORRÊNCIA na forma ELETRÔNICA</w:t>
      </w:r>
      <w:r>
        <w:rPr>
          <w:rFonts w:cs="Arial" w:ascii="Arial" w:hAnsi="Arial"/>
          <w:sz w:val="24"/>
          <w:szCs w:val="24"/>
        </w:rPr>
        <w:t xml:space="preserve">, tipo </w:t>
      </w:r>
      <w:r>
        <w:rPr>
          <w:rFonts w:cs="Arial" w:ascii="Arial" w:hAnsi="Arial"/>
          <w:b/>
          <w:sz w:val="24"/>
          <w:szCs w:val="24"/>
        </w:rPr>
        <w:t>"MENOR PREÇO GLOBAL”, MODO DE DISPUTA “ABERTO”</w:t>
      </w:r>
      <w:r>
        <w:rPr>
          <w:rFonts w:cs="Arial" w:ascii="Arial" w:hAnsi="Arial"/>
          <w:sz w:val="24"/>
          <w:szCs w:val="24"/>
        </w:rPr>
        <w:t xml:space="preserve">, observadas as disposições contidas na Lei Federal nº 14.133/2021, Lei Complementar nº 123/2006 e alterações e </w:t>
      </w:r>
      <w:r>
        <w:rPr>
          <w:rFonts w:cs="Arial" w:ascii="Arial" w:hAnsi="Arial"/>
          <w:b/>
          <w:sz w:val="24"/>
          <w:szCs w:val="24"/>
        </w:rPr>
        <w:t>DECRETO MUNICIPAL Nº 1197/2023, DE 27 DE DEZEMBRO DE 2023</w:t>
      </w:r>
      <w:r>
        <w:rPr>
          <w:rFonts w:cs="Arial" w:ascii="Arial" w:hAnsi="Arial"/>
          <w:sz w:val="24"/>
          <w:szCs w:val="24"/>
        </w:rPr>
        <w:t>, e pelas demais normas legais e regulamentares aplicáveis à espécie, e as condições constantes do presente Edital e seus Anexos.</w:t>
      </w:r>
    </w:p>
    <w:p>
      <w:pPr>
        <w:pStyle w:val="BodyText"/>
        <w:ind w:left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ind w:left="221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DATA</w:t>
      </w:r>
      <w:r>
        <w:rPr>
          <w:rFonts w:cs="Arial" w:ascii="Arial" w:hAnsi="Arial"/>
          <w:spacing w:val="-1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DA</w:t>
      </w:r>
      <w:r>
        <w:rPr>
          <w:rFonts w:cs="Arial" w:ascii="Arial" w:hAnsi="Arial"/>
          <w:spacing w:val="-3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REALIZAÇÃO: </w:t>
      </w:r>
      <w:r>
        <w:rPr>
          <w:rFonts w:cs="Arial" w:ascii="Arial" w:hAnsi="Arial"/>
          <w:color w:val="000000"/>
          <w:sz w:val="24"/>
          <w:szCs w:val="24"/>
          <w:highlight w:val="green"/>
          <w:u w:val="single"/>
        </w:rPr>
        <w:t>DIA 10 DE ABRIL</w:t>
      </w:r>
      <w:r>
        <w:rPr>
          <w:rFonts w:cs="Arial" w:ascii="Arial" w:hAnsi="Arial"/>
          <w:color w:val="000000"/>
          <w:spacing w:val="2"/>
          <w:sz w:val="24"/>
          <w:szCs w:val="24"/>
          <w:highlight w:val="green"/>
          <w:u w:val="single"/>
        </w:rPr>
        <w:t xml:space="preserve"> </w:t>
      </w:r>
      <w:r>
        <w:rPr>
          <w:rFonts w:cs="Arial" w:ascii="Arial" w:hAnsi="Arial"/>
          <w:color w:val="000000"/>
          <w:sz w:val="24"/>
          <w:szCs w:val="24"/>
          <w:highlight w:val="green"/>
          <w:u w:val="single"/>
        </w:rPr>
        <w:t>DE</w:t>
      </w:r>
      <w:r>
        <w:rPr>
          <w:rFonts w:cs="Arial" w:ascii="Arial" w:hAnsi="Arial"/>
          <w:color w:val="000000"/>
          <w:spacing w:val="-2"/>
          <w:sz w:val="24"/>
          <w:szCs w:val="24"/>
          <w:highlight w:val="green"/>
          <w:u w:val="single"/>
        </w:rPr>
        <w:t xml:space="preserve"> </w:t>
      </w:r>
      <w:r>
        <w:rPr>
          <w:rFonts w:cs="Arial" w:ascii="Arial" w:hAnsi="Arial"/>
          <w:color w:val="000000"/>
          <w:sz w:val="24"/>
          <w:szCs w:val="24"/>
          <w:highlight w:val="green"/>
          <w:u w:val="single"/>
        </w:rPr>
        <w:t xml:space="preserve">2024 </w:t>
      </w:r>
      <w:r>
        <w:rPr>
          <w:rFonts w:cs="Arial" w:ascii="Arial" w:hAnsi="Arial"/>
          <w:color w:val="000000"/>
          <w:spacing w:val="-2"/>
          <w:sz w:val="24"/>
          <w:szCs w:val="24"/>
          <w:highlight w:val="green"/>
          <w:u w:val="single"/>
        </w:rPr>
        <w:t>(10/04/2024).</w:t>
      </w:r>
    </w:p>
    <w:p>
      <w:pPr>
        <w:pStyle w:val="Normal"/>
        <w:spacing w:before="41" w:after="200"/>
        <w:ind w:left="221" w:right="259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HORÁRIO:</w:t>
      </w:r>
      <w:r>
        <w:rPr>
          <w:rFonts w:cs="Arial" w:ascii="Arial" w:hAnsi="Arial"/>
          <w:b/>
          <w:spacing w:val="29"/>
          <w:sz w:val="24"/>
          <w:szCs w:val="24"/>
        </w:rPr>
        <w:t xml:space="preserve"> </w:t>
      </w:r>
      <w:r>
        <w:rPr>
          <w:rFonts w:cs="Arial" w:ascii="Arial" w:hAnsi="Arial"/>
          <w:b/>
          <w:color w:val="000000"/>
          <w:sz w:val="24"/>
          <w:szCs w:val="24"/>
          <w:highlight w:val="green"/>
          <w:u w:val="single"/>
        </w:rPr>
        <w:t>RECEPÇÃO DE</w:t>
      </w:r>
      <w:r>
        <w:rPr>
          <w:rFonts w:cs="Arial" w:ascii="Arial" w:hAnsi="Arial"/>
          <w:b/>
          <w:color w:val="000000"/>
          <w:spacing w:val="32"/>
          <w:sz w:val="24"/>
          <w:szCs w:val="24"/>
          <w:highlight w:val="green"/>
          <w:u w:val="single"/>
        </w:rPr>
        <w:t xml:space="preserve"> </w:t>
      </w:r>
      <w:r>
        <w:rPr>
          <w:rFonts w:cs="Arial" w:ascii="Arial" w:hAnsi="Arial"/>
          <w:b/>
          <w:color w:val="000000"/>
          <w:sz w:val="24"/>
          <w:szCs w:val="24"/>
          <w:highlight w:val="green"/>
          <w:u w:val="single"/>
        </w:rPr>
        <w:t>PROPOSTA</w:t>
      </w:r>
      <w:r>
        <w:rPr>
          <w:rFonts w:cs="Arial" w:ascii="Arial" w:hAnsi="Arial"/>
          <w:b/>
          <w:color w:val="000000"/>
          <w:spacing w:val="31"/>
          <w:sz w:val="24"/>
          <w:szCs w:val="24"/>
          <w:highlight w:val="green"/>
          <w:u w:val="single"/>
        </w:rPr>
        <w:t xml:space="preserve"> </w:t>
      </w:r>
      <w:r>
        <w:rPr>
          <w:rFonts w:cs="Arial" w:ascii="Arial" w:hAnsi="Arial"/>
          <w:b/>
          <w:color w:val="000000"/>
          <w:sz w:val="24"/>
          <w:szCs w:val="24"/>
          <w:highlight w:val="green"/>
          <w:u w:val="single"/>
        </w:rPr>
        <w:t>ÀS</w:t>
      </w:r>
      <w:r>
        <w:rPr>
          <w:rFonts w:cs="Arial" w:ascii="Arial" w:hAnsi="Arial"/>
          <w:b/>
          <w:color w:val="000000"/>
          <w:spacing w:val="29"/>
          <w:sz w:val="24"/>
          <w:szCs w:val="24"/>
          <w:highlight w:val="green"/>
          <w:u w:val="single"/>
        </w:rPr>
        <w:t xml:space="preserve"> </w:t>
      </w:r>
      <w:r>
        <w:rPr>
          <w:rFonts w:cs="Arial" w:ascii="Arial" w:hAnsi="Arial"/>
          <w:b/>
          <w:color w:val="000000"/>
          <w:sz w:val="24"/>
          <w:szCs w:val="24"/>
          <w:highlight w:val="green"/>
          <w:u w:val="single"/>
        </w:rPr>
        <w:t>09:00</w:t>
      </w:r>
      <w:r>
        <w:rPr>
          <w:rFonts w:cs="Arial" w:ascii="Arial" w:hAnsi="Arial"/>
          <w:b/>
          <w:color w:val="000000"/>
          <w:spacing w:val="29"/>
          <w:sz w:val="24"/>
          <w:szCs w:val="24"/>
          <w:highlight w:val="green"/>
          <w:u w:val="single"/>
        </w:rPr>
        <w:t xml:space="preserve"> </w:t>
      </w:r>
      <w:r>
        <w:rPr>
          <w:rFonts w:cs="Arial" w:ascii="Arial" w:hAnsi="Arial"/>
          <w:b/>
          <w:color w:val="000000"/>
          <w:sz w:val="24"/>
          <w:szCs w:val="24"/>
          <w:highlight w:val="green"/>
          <w:u w:val="single"/>
        </w:rPr>
        <w:t>(NOVE)</w:t>
      </w:r>
      <w:r>
        <w:rPr>
          <w:rFonts w:cs="Arial" w:ascii="Arial" w:hAnsi="Arial"/>
          <w:b/>
          <w:color w:val="000000"/>
          <w:spacing w:val="29"/>
          <w:sz w:val="24"/>
          <w:szCs w:val="24"/>
          <w:highlight w:val="green"/>
          <w:u w:val="single"/>
        </w:rPr>
        <w:t xml:space="preserve"> </w:t>
      </w:r>
      <w:r>
        <w:rPr>
          <w:rFonts w:cs="Arial" w:ascii="Arial" w:hAnsi="Arial"/>
          <w:b/>
          <w:color w:val="000000"/>
          <w:sz w:val="24"/>
          <w:szCs w:val="24"/>
          <w:highlight w:val="green"/>
          <w:u w:val="single"/>
        </w:rPr>
        <w:t>HORAS</w:t>
      </w:r>
      <w:r>
        <w:rPr>
          <w:rFonts w:cs="Arial" w:ascii="Arial" w:hAnsi="Arial"/>
          <w:b/>
          <w:color w:val="000000"/>
          <w:spacing w:val="29"/>
          <w:sz w:val="24"/>
          <w:szCs w:val="24"/>
          <w:highlight w:val="green"/>
          <w:u w:val="single"/>
        </w:rPr>
        <w:t xml:space="preserve"> </w:t>
      </w:r>
      <w:r>
        <w:rPr>
          <w:rFonts w:cs="Arial" w:ascii="Arial" w:hAnsi="Arial"/>
          <w:b/>
          <w:color w:val="000000"/>
          <w:sz w:val="24"/>
          <w:szCs w:val="24"/>
          <w:highlight w:val="green"/>
          <w:u w:val="single"/>
        </w:rPr>
        <w:t>E</w:t>
      </w:r>
      <w:r>
        <w:rPr>
          <w:rFonts w:cs="Arial" w:ascii="Arial" w:hAnsi="Arial"/>
          <w:b/>
          <w:color w:val="000000"/>
          <w:spacing w:val="29"/>
          <w:sz w:val="24"/>
          <w:szCs w:val="24"/>
          <w:highlight w:val="green"/>
          <w:u w:val="single"/>
        </w:rPr>
        <w:t xml:space="preserve"> </w:t>
      </w:r>
      <w:r>
        <w:rPr>
          <w:rFonts w:cs="Arial" w:ascii="Arial" w:hAnsi="Arial"/>
          <w:b/>
          <w:color w:val="000000"/>
          <w:sz w:val="24"/>
          <w:szCs w:val="24"/>
          <w:highlight w:val="green"/>
          <w:u w:val="single"/>
        </w:rPr>
        <w:t>INÍCIO</w:t>
      </w:r>
      <w:r>
        <w:rPr>
          <w:rFonts w:cs="Arial" w:ascii="Arial" w:hAnsi="Arial"/>
          <w:b/>
          <w:color w:val="000000"/>
          <w:spacing w:val="29"/>
          <w:sz w:val="24"/>
          <w:szCs w:val="24"/>
          <w:highlight w:val="green"/>
          <w:u w:val="single"/>
        </w:rPr>
        <w:t xml:space="preserve"> </w:t>
      </w:r>
      <w:r>
        <w:rPr>
          <w:rFonts w:cs="Arial" w:ascii="Arial" w:hAnsi="Arial"/>
          <w:b/>
          <w:color w:val="000000"/>
          <w:sz w:val="24"/>
          <w:szCs w:val="24"/>
          <w:highlight w:val="green"/>
          <w:u w:val="single"/>
        </w:rPr>
        <w:t>DA</w:t>
      </w:r>
      <w:r>
        <w:rPr>
          <w:rFonts w:cs="Arial" w:ascii="Arial" w:hAnsi="Arial"/>
          <w:b/>
          <w:color w:val="000000"/>
          <w:sz w:val="24"/>
          <w:szCs w:val="24"/>
        </w:rPr>
        <w:t xml:space="preserve"> </w:t>
      </w:r>
      <w:r>
        <w:rPr>
          <w:rFonts w:cs="Arial" w:ascii="Arial" w:hAnsi="Arial"/>
          <w:b/>
          <w:color w:val="000000"/>
          <w:sz w:val="24"/>
          <w:szCs w:val="24"/>
          <w:highlight w:val="green"/>
          <w:u w:val="single"/>
        </w:rPr>
        <w:t>DISPUTA ÀS 9:30 (NOVE E TRINTA) (HORÁRIO DE BRASÍLIA-DF).</w:t>
      </w:r>
    </w:p>
    <w:p>
      <w:pPr>
        <w:pStyle w:val="Normal"/>
        <w:spacing w:before="1" w:after="200"/>
        <w:ind w:left="221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LOCAL:</w:t>
      </w:r>
      <w:r>
        <w:rPr>
          <w:rFonts w:cs="Arial" w:ascii="Arial" w:hAnsi="Arial"/>
          <w:b/>
          <w:spacing w:val="-1"/>
          <w:sz w:val="24"/>
          <w:szCs w:val="24"/>
        </w:rPr>
        <w:t xml:space="preserve"> </w:t>
      </w:r>
      <w:r>
        <w:rPr>
          <w:rFonts w:cs="Arial" w:ascii="Arial" w:hAnsi="Arial"/>
          <w:b/>
          <w:spacing w:val="-2"/>
          <w:sz w:val="24"/>
          <w:szCs w:val="24"/>
          <w:u w:val="single"/>
        </w:rPr>
        <w:t>https://bll.org.br/.</w:t>
      </w:r>
    </w:p>
    <w:p>
      <w:pPr>
        <w:pStyle w:val="BodyText"/>
        <w:spacing w:before="41" w:after="0"/>
        <w:ind w:left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ind w:left="221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VALOR ESTIMADO DA LICITAÇÃO: R$ 397.988,29 (trezentos e noventa e sete mil, novecentos e oitenta e oito reais e vinte e nove centavos).</w:t>
      </w:r>
    </w:p>
    <w:p>
      <w:pPr>
        <w:pStyle w:val="BodyText"/>
        <w:ind w:left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ing1"/>
        <w:ind w:left="221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CONSULTA</w:t>
      </w:r>
      <w:r>
        <w:rPr>
          <w:rFonts w:cs="Arial" w:ascii="Arial" w:hAnsi="Arial"/>
          <w:spacing w:val="-2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AO</w:t>
      </w:r>
      <w:r>
        <w:rPr>
          <w:rFonts w:cs="Arial" w:ascii="Arial" w:hAnsi="Arial"/>
          <w:spacing w:val="-3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EDITAL</w:t>
      </w:r>
      <w:r>
        <w:rPr>
          <w:rFonts w:cs="Arial" w:ascii="Arial" w:hAnsi="Arial"/>
          <w:spacing w:val="-3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E</w:t>
      </w:r>
      <w:r>
        <w:rPr>
          <w:rFonts w:cs="Arial" w:ascii="Arial" w:hAnsi="Arial"/>
          <w:spacing w:val="1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DIVULGAÇÃO</w:t>
      </w:r>
      <w:r>
        <w:rPr>
          <w:rFonts w:cs="Arial" w:ascii="Arial" w:hAnsi="Arial"/>
          <w:spacing w:val="1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DE</w:t>
      </w:r>
      <w:r>
        <w:rPr>
          <w:rFonts w:cs="Arial" w:ascii="Arial" w:hAnsi="Arial"/>
          <w:spacing w:val="-2"/>
          <w:sz w:val="24"/>
          <w:szCs w:val="24"/>
        </w:rPr>
        <w:t xml:space="preserve"> INFORMAÇÕES:</w:t>
      </w:r>
    </w:p>
    <w:p>
      <w:pPr>
        <w:pStyle w:val="Normal"/>
        <w:ind w:left="221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Portal</w:t>
      </w:r>
      <w:r>
        <w:rPr>
          <w:rFonts w:cs="Arial" w:ascii="Arial" w:hAnsi="Arial"/>
          <w:b/>
          <w:spacing w:val="-2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BLLCOMPRAS</w:t>
      </w:r>
      <w:r>
        <w:rPr>
          <w:rFonts w:cs="Arial" w:ascii="Arial" w:hAnsi="Arial"/>
          <w:b/>
          <w:spacing w:val="1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no</w:t>
      </w:r>
      <w:r>
        <w:rPr>
          <w:rFonts w:cs="Arial" w:ascii="Arial" w:hAnsi="Arial"/>
          <w:b/>
          <w:spacing w:val="-1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endereço</w:t>
      </w:r>
      <w:r>
        <w:rPr>
          <w:rFonts w:cs="Arial" w:ascii="Arial" w:hAnsi="Arial"/>
          <w:b/>
          <w:spacing w:val="-1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 xml:space="preserve">eletrônico: </w:t>
      </w:r>
      <w:r>
        <w:rPr>
          <w:rFonts w:cs="Arial" w:ascii="Arial" w:hAnsi="Arial"/>
          <w:sz w:val="24"/>
          <w:szCs w:val="24"/>
        </w:rPr>
        <w:t>https://bll.org.br/</w:t>
      </w:r>
      <w:r>
        <w:rPr>
          <w:rFonts w:cs="Arial" w:ascii="Arial" w:hAnsi="Arial"/>
          <w:spacing w:val="-1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-</w:t>
      </w:r>
      <w:r>
        <w:rPr>
          <w:rFonts w:cs="Arial" w:ascii="Arial" w:hAnsi="Arial"/>
          <w:spacing w:val="-4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“Acesso</w:t>
      </w:r>
      <w:r>
        <w:rPr>
          <w:rFonts w:cs="Arial" w:ascii="Arial" w:hAnsi="Arial"/>
          <w:spacing w:val="1"/>
          <w:sz w:val="24"/>
          <w:szCs w:val="24"/>
        </w:rPr>
        <w:t xml:space="preserve"> </w:t>
      </w:r>
      <w:r>
        <w:rPr>
          <w:rFonts w:cs="Arial" w:ascii="Arial" w:hAnsi="Arial"/>
          <w:spacing w:val="-2"/>
          <w:sz w:val="24"/>
          <w:szCs w:val="24"/>
        </w:rPr>
        <w:t>Identificado”</w:t>
      </w:r>
    </w:p>
    <w:p>
      <w:pPr>
        <w:pStyle w:val="Normal"/>
        <w:ind w:left="221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Contato:</w:t>
      </w:r>
      <w:r>
        <w:rPr>
          <w:rFonts w:cs="Arial" w:ascii="Arial" w:hAnsi="Arial"/>
          <w:b/>
          <w:spacing w:val="-3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(41)</w:t>
      </w:r>
      <w:r>
        <w:rPr>
          <w:rFonts w:cs="Arial" w:ascii="Arial" w:hAnsi="Arial"/>
          <w:spacing w:val="-2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3097-4600</w:t>
      </w:r>
      <w:r>
        <w:rPr>
          <w:rFonts w:cs="Arial" w:ascii="Arial" w:hAnsi="Arial"/>
          <w:spacing w:val="2"/>
          <w:sz w:val="24"/>
          <w:szCs w:val="24"/>
        </w:rPr>
        <w:t xml:space="preserve"> </w:t>
      </w:r>
      <w:hyperlink r:id="rId4">
        <w:r>
          <w:rPr>
            <w:rStyle w:val="Hyperlink"/>
            <w:rFonts w:cs="Arial" w:ascii="Arial" w:hAnsi="Arial"/>
            <w:spacing w:val="-2"/>
            <w:sz w:val="24"/>
            <w:szCs w:val="24"/>
          </w:rPr>
          <w:t>contato@bll.org.br</w:t>
        </w:r>
      </w:hyperlink>
    </w:p>
    <w:p>
      <w:pPr>
        <w:pStyle w:val="BodyText"/>
        <w:ind w:left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21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Portal</w:t>
      </w:r>
      <w:r>
        <w:rPr>
          <w:rFonts w:cs="Arial" w:ascii="Arial" w:hAnsi="Arial"/>
          <w:b/>
          <w:spacing w:val="-2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de Contratações</w:t>
      </w:r>
      <w:r>
        <w:rPr>
          <w:rFonts w:cs="Arial" w:ascii="Arial" w:hAnsi="Arial"/>
          <w:b/>
          <w:spacing w:val="-1"/>
          <w:sz w:val="24"/>
          <w:szCs w:val="24"/>
        </w:rPr>
        <w:t xml:space="preserve"> </w:t>
      </w:r>
      <w:r>
        <w:rPr>
          <w:rFonts w:cs="Arial" w:ascii="Arial" w:hAnsi="Arial"/>
          <w:b/>
          <w:spacing w:val="-2"/>
          <w:sz w:val="24"/>
          <w:szCs w:val="24"/>
        </w:rPr>
        <w:t>Públicas</w:t>
      </w:r>
    </w:p>
    <w:p>
      <w:pPr>
        <w:pStyle w:val="BodyText"/>
        <w:rPr>
          <w:rFonts w:ascii="Arial" w:hAnsi="Arial" w:cs="Arial"/>
        </w:rPr>
      </w:pPr>
      <w:r>
        <w:rPr>
          <w:rFonts w:cs="Arial" w:ascii="Arial" w:hAnsi="Arial"/>
        </w:rPr>
        <w:t>no</w:t>
      </w:r>
      <w:r>
        <w:rPr>
          <w:rFonts w:cs="Arial" w:ascii="Arial" w:hAnsi="Arial"/>
          <w:spacing w:val="-5"/>
        </w:rPr>
        <w:t xml:space="preserve"> </w:t>
      </w:r>
      <w:r>
        <w:rPr>
          <w:rFonts w:cs="Arial" w:ascii="Arial" w:hAnsi="Arial"/>
        </w:rPr>
        <w:t>endereço:</w:t>
      </w:r>
      <w:r>
        <w:rPr>
          <w:rFonts w:cs="Arial" w:ascii="Arial" w:hAnsi="Arial"/>
          <w:spacing w:val="-9"/>
        </w:rPr>
        <w:t xml:space="preserve"> </w:t>
      </w:r>
      <w:r>
        <w:rPr>
          <w:rFonts w:cs="Arial" w:ascii="Arial" w:hAnsi="Arial"/>
        </w:rPr>
        <w:t>https://</w:t>
      </w:r>
      <w:hyperlink r:id="rId5">
        <w:r>
          <w:rPr>
            <w:rStyle w:val="Hyperlink"/>
            <w:rFonts w:cs="Arial" w:ascii="Arial" w:hAnsi="Arial"/>
          </w:rPr>
          <w:t>www.gov.br/pncp/pt-</w:t>
        </w:r>
        <w:r>
          <w:rPr>
            <w:rStyle w:val="Hyperlink"/>
            <w:rFonts w:cs="Arial" w:ascii="Arial" w:hAnsi="Arial"/>
            <w:spacing w:val="-5"/>
          </w:rPr>
          <w:t>br</w:t>
        </w:r>
      </w:hyperlink>
    </w:p>
    <w:p>
      <w:pPr>
        <w:pStyle w:val="BodyText"/>
        <w:ind w:left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21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Diário</w:t>
      </w:r>
      <w:r>
        <w:rPr>
          <w:rFonts w:cs="Arial" w:ascii="Arial" w:hAnsi="Arial"/>
          <w:b/>
          <w:spacing w:val="-2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Oficial</w:t>
      </w:r>
      <w:r>
        <w:rPr>
          <w:rFonts w:cs="Arial" w:ascii="Arial" w:hAnsi="Arial"/>
          <w:b/>
          <w:spacing w:val="-1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do</w:t>
      </w:r>
      <w:r>
        <w:rPr>
          <w:rFonts w:cs="Arial" w:ascii="Arial" w:hAnsi="Arial"/>
          <w:b/>
          <w:spacing w:val="-1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Município no</w:t>
      </w:r>
      <w:r>
        <w:rPr>
          <w:rFonts w:cs="Arial" w:ascii="Arial" w:hAnsi="Arial"/>
          <w:b/>
          <w:spacing w:val="-1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endereço</w:t>
      </w:r>
      <w:r>
        <w:rPr>
          <w:rFonts w:cs="Arial" w:ascii="Arial" w:hAnsi="Arial"/>
          <w:b/>
          <w:spacing w:val="-1"/>
          <w:sz w:val="24"/>
          <w:szCs w:val="24"/>
        </w:rPr>
        <w:t xml:space="preserve"> </w:t>
      </w:r>
      <w:r>
        <w:rPr>
          <w:rFonts w:cs="Arial" w:ascii="Arial" w:hAnsi="Arial"/>
          <w:b/>
          <w:spacing w:val="-2"/>
          <w:sz w:val="24"/>
          <w:szCs w:val="24"/>
        </w:rPr>
        <w:t>eletrônico:</w:t>
      </w:r>
    </w:p>
    <w:p>
      <w:pPr>
        <w:pStyle w:val="BodyText"/>
        <w:rPr>
          <w:rFonts w:ascii="Arial" w:hAnsi="Arial" w:cs="Arial"/>
        </w:rPr>
      </w:pPr>
      <w:r>
        <w:rPr>
          <w:rFonts w:cs="Arial" w:ascii="Arial" w:hAnsi="Arial"/>
          <w:spacing w:val="-2"/>
        </w:rPr>
        <w:t>https://</w:t>
      </w:r>
      <w:hyperlink r:id="rId6">
        <w:r>
          <w:rPr>
            <w:rStyle w:val="Hyperlink"/>
            <w:rFonts w:cs="Arial" w:ascii="Arial" w:hAnsi="Arial"/>
            <w:spacing w:val="-2"/>
          </w:rPr>
          <w:t>www.diariooficialms.com.br/</w:t>
        </w:r>
      </w:hyperlink>
    </w:p>
    <w:p>
      <w:pPr>
        <w:pStyle w:val="BodyText"/>
        <w:ind w:left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221" w:right="25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ESCLARECIMENTOS: </w:t>
      </w:r>
      <w:r>
        <w:rPr>
          <w:rFonts w:cs="Arial" w:ascii="Arial" w:hAnsi="Arial"/>
          <w:sz w:val="24"/>
          <w:szCs w:val="24"/>
        </w:rPr>
        <w:t xml:space="preserve">E-mail: </w:t>
      </w:r>
      <w:hyperlink r:id="rId7">
        <w:r>
          <w:rPr>
            <w:rStyle w:val="Hyperlink"/>
            <w:rFonts w:cs="Arial" w:ascii="Arial" w:hAnsi="Arial"/>
            <w:sz w:val="24"/>
            <w:szCs w:val="24"/>
          </w:rPr>
          <w:t>licitapref@hotmail.com</w:t>
        </w:r>
      </w:hyperlink>
      <w:r>
        <w:rPr>
          <w:rFonts w:cs="Arial" w:ascii="Arial" w:hAnsi="Arial"/>
          <w:sz w:val="24"/>
          <w:szCs w:val="24"/>
        </w:rPr>
        <w:t xml:space="preserve"> telefone: (67) 36690000, horário de atendimento das </w:t>
      </w:r>
      <w:r>
        <w:rPr>
          <w:rFonts w:cs="Arial" w:ascii="Arial" w:hAnsi="Arial"/>
          <w:b/>
          <w:sz w:val="24"/>
          <w:szCs w:val="24"/>
        </w:rPr>
        <w:t>8:00 as 14:00 horas (horário de Brasília-DF)</w:t>
      </w:r>
      <w:r>
        <w:rPr>
          <w:rFonts w:cs="Arial" w:ascii="Arial" w:hAnsi="Arial"/>
          <w:sz w:val="24"/>
          <w:szCs w:val="24"/>
        </w:rPr>
        <w:t>, Setor de Licitações, na Avenida Juca Pinhé Nº 333; Jardim Santa Mônica; Paranaíba-MS</w:t>
      </w:r>
    </w:p>
    <w:p>
      <w:pPr>
        <w:pStyle w:val="Normal"/>
        <w:ind w:left="221" w:right="257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BodyText"/>
        <w:ind w:left="103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 wp14:anchorId="4A863942">
                <wp:extent cx="5899785" cy="207645"/>
                <wp:effectExtent l="9525" t="9525" r="5715" b="11430"/>
                <wp:docPr id="10" name="Caixa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680" cy="20772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tabs>
                                <w:tab w:val="clear" w:pos="720"/>
                                <w:tab w:val="left" w:pos="674" w:leader="none"/>
                              </w:tabs>
                              <w:spacing w:before="19" w:after="200"/>
                              <w:ind w:left="108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5"/>
                                <w:sz w:val="24"/>
                              </w:rPr>
                              <w:t>1.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DO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OBJETO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Caixa de texto 3" path="m0,0l-2147483645,0l-2147483645,-2147483646l0,-2147483646xe" fillcolor="#d8d8d8" stroked="t" o:allowincell="f" style="position:absolute;margin-left:0pt;margin-top:-18.05pt;width:464.5pt;height:16.3pt;mso-wrap-style:square;v-text-anchor:top;mso-position-vertical:top" wp14:anchorId="4A863942">
                <v:fill o:detectmouseclick="t" type="solid" color2="#272727"/>
                <v:stroke color="black" weight="6480" joinstyle="miter" endcap="flat"/>
                <v:textbox>
                  <w:txbxContent>
                    <w:p>
                      <w:pPr>
                        <w:pStyle w:val="Contedodoquadro"/>
                        <w:tabs>
                          <w:tab w:val="clear" w:pos="720"/>
                          <w:tab w:val="left" w:pos="674" w:leader="none"/>
                        </w:tabs>
                        <w:spacing w:before="19" w:after="200"/>
                        <w:ind w:left="108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pacing w:val="-5"/>
                          <w:sz w:val="24"/>
                        </w:rPr>
                        <w:t>1.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 xml:space="preserve">DO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OBJETO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ind w:left="221" w:right="255"/>
        <w:jc w:val="both"/>
        <w:rPr>
          <w:rFonts w:ascii="Arial" w:hAnsi="Arial" w:cs="Arial"/>
        </w:rPr>
      </w:pPr>
      <w:r>
        <w:rPr>
          <w:rFonts w:cs="Arial" w:ascii="Arial" w:hAnsi="Arial"/>
        </w:rPr>
        <w:t>1.1</w:t>
      </w:r>
      <w:r>
        <w:rPr>
          <w:rFonts w:cs="Arial" w:ascii="Arial" w:hAnsi="Arial"/>
          <w:spacing w:val="80"/>
          <w:w w:val="150"/>
        </w:rPr>
        <w:t xml:space="preserve"> </w:t>
      </w:r>
      <w:r>
        <w:rPr>
          <w:rFonts w:cs="Arial" w:ascii="Arial" w:hAnsi="Arial"/>
        </w:rPr>
        <w:t xml:space="preserve">Contratação de empresa especializada para a </w:t>
      </w:r>
      <w:r>
        <w:rPr>
          <w:rFonts w:cs="Arial" w:ascii="Arial" w:hAnsi="Arial"/>
          <w:b/>
          <w:i/>
        </w:rPr>
        <w:t xml:space="preserve">“Reforma da Quadra Poliesportiva do Paranaíba Tênis Clube”, </w:t>
      </w:r>
      <w:r>
        <w:rPr>
          <w:rFonts w:cs="Arial" w:ascii="Arial" w:hAnsi="Arial"/>
        </w:rPr>
        <w:t>visando atender as necessidades da Secretaria Municipal de Urbanismo, Habitação e Infraestrutura, do Município de Paranaíba-MS, conforme especificado em conformidade com o Projeto Básico, Memorial descritivo dos Serviços, Cronograma físico financeiro, planilha orçamentária, edital e seus anexos</w:t>
      </w:r>
    </w:p>
    <w:p>
      <w:pPr>
        <w:pStyle w:val="BodyText"/>
        <w:ind w:left="221" w:right="255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BodyText"/>
        <w:ind w:left="221" w:right="255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BodyText"/>
        <w:ind w:left="221" w:right="255"/>
        <w:jc w:val="center"/>
        <w:rPr>
          <w:rFonts w:ascii="Arial" w:hAnsi="Arial" w:cs="Arial"/>
          <w:b/>
          <w:u w:val="single"/>
        </w:rPr>
      </w:pPr>
      <w:r>
        <w:rPr>
          <w:rFonts w:cs="Arial" w:ascii="Arial" w:hAnsi="Arial"/>
          <w:b/>
          <w:u w:val="single"/>
        </w:rPr>
        <w:t>PUBLICAÇÃO OBRIGATÓRIA DE TODOS OS EDITAIS</w:t>
      </w:r>
    </w:p>
    <w:p>
      <w:pPr>
        <w:pStyle w:val="BodyText"/>
        <w:ind w:left="221" w:right="255"/>
        <w:jc w:val="both"/>
        <w:rPr>
          <w:rFonts w:ascii="Arial" w:hAnsi="Arial" w:cs="Arial"/>
          <w:lang w:val="pt-BR" w:eastAsia="pt-BR"/>
        </w:rPr>
      </w:pPr>
      <w:r>
        <w:rPr>
          <w:rFonts w:cs="Arial" w:ascii="Arial" w:hAnsi="Arial"/>
          <w:lang w:val="pt-BR" w:eastAsia="pt-BR"/>
        </w:rPr>
      </w:r>
    </w:p>
    <w:p>
      <w:pPr>
        <w:sectPr>
          <w:type w:val="nextPage"/>
          <w:pgSz w:w="11906" w:h="16838"/>
          <w:pgMar w:left="1480" w:right="880" w:gutter="0" w:header="0" w:top="2000" w:footer="0" w:bottom="1320"/>
          <w:pgNumType w:start="1" w:fmt="decimal"/>
          <w:formProt w:val="false"/>
          <w:textDirection w:val="lrTb"/>
          <w:docGrid w:type="default" w:linePitch="100" w:charSpace="8192"/>
        </w:sectPr>
        <w:pStyle w:val="BodyText"/>
        <w:ind w:left="221" w:right="255"/>
        <w:jc w:val="both"/>
        <w:rPr>
          <w:rFonts w:ascii="Arial" w:hAnsi="Arial" w:cs="Arial"/>
        </w:rPr>
      </w:pPr>
      <w:r>
        <w:rPr/>
        <w:drawing>
          <wp:inline distT="0" distB="0" distL="0" distR="0">
            <wp:extent cx="4610100" cy="2354580"/>
            <wp:effectExtent l="0" t="0" r="0" b="0"/>
            <wp:docPr id="11" name="Imagem 17" descr="Portal CNM - Municípios se reúnem para discutirem implementação da Lei de  Licitações e Contratações Públicas no âmbito local - Confederação Nacional  de Municíp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7" descr="Portal CNM - Municípios se reúnem para discutirem implementação da Lei de  Licitações e Contratações Públicas no âmbito local - Confederação Nacional  de Município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/>
          <w:sz w:val="24"/>
          <w:szCs w:val="24"/>
        </w:rPr>
        <w:t>O Edital indicará :</w:t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1. Todas as características do objeto de forma clara e objetiva.</w:t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2. A modalidade (como deve ocorrer) e o tipo de licitação (como será o julgamento)</w:t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3. Os documentos e condições a serem apresentados pelos licitantes</w:t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OBJETO DA LICITAÇÃO</w:t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- Alienação e concessão de direito real de uso de bens públicos</w:t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- Compra, inclusive por encomenda</w:t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- Locação</w:t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- Concessão e permissão de uso de bens públicos</w:t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- Prestação de serviço, inclusive os técnico-profissionais especializados</w:t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24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- Obras e serviços de engenharia (</w:t>
      </w:r>
      <w:r>
        <w:rPr>
          <w:rFonts w:eastAsia="Arial" w:cs="Arial" w:ascii="Arial" w:hAnsi="Arial"/>
          <w:sz w:val="24"/>
          <w:szCs w:val="24"/>
        </w:rPr>
        <w:t xml:space="preserve">Obra </w:t>
      </w:r>
      <w:sdt>
        <w:sdtPr>
          <w:tag w:val="goog_rdk_0"/>
          <w:id w:val="543941781"/>
        </w:sdtPr>
        <w:sdtContent>
          <w:r>
            <w:rPr>
              <w:rFonts w:eastAsia="Arial" w:cs="Arial" w:ascii="Arial" w:hAnsi="Arial"/>
              <w:sz w:val="24"/>
              <w:szCs w:val="24"/>
            </w:rPr>
          </w:r>
          <w:r>
            <w:rPr>
              <w:rFonts w:eastAsia="Arial Unicode MS" w:cs="Arial" w:ascii="Arial" w:hAnsi="Arial"/>
              <w:b/>
              <w:color w:val="4D4D4D"/>
              <w:sz w:val="24"/>
              <w:szCs w:val="24"/>
            </w:rPr>
            <w:t>≠</w:t>
          </w:r>
        </w:sdtContent>
      </w:sdt>
      <w:r>
        <w:rPr>
          <w:rFonts w:eastAsia="Arial" w:cs="Arial" w:ascii="Arial" w:hAnsi="Arial"/>
          <w:color w:val="4D4D4D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Serviço de Engenharia)</w:t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Ex: Obra é construção, reforma, ampliação, já os serviços de engenharia são por exemplo demolição, conserto, instalação, montagem.</w:t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- Tecnologia da informação e de comunicação</w:t>
      </w:r>
    </w:p>
    <w:p>
      <w:pPr>
        <w:pStyle w:val="Normal"/>
        <w:numPr>
          <w:ilvl w:val="0"/>
          <w:numId w:val="6"/>
        </w:numPr>
        <w:tabs>
          <w:tab w:val="clear" w:pos="720"/>
          <w:tab w:val="center" w:pos="4252" w:leader="none"/>
          <w:tab w:val="left" w:pos="7650" w:leader="none"/>
        </w:tabs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Bens e serviços comuns</w:t>
      </w:r>
      <w:r>
        <w:rPr>
          <w:rFonts w:eastAsia="Arial" w:cs="Arial" w:ascii="Arial" w:hAnsi="Arial"/>
          <w:sz w:val="24"/>
          <w:szCs w:val="24"/>
        </w:rPr>
        <w:t xml:space="preserve">: </w:t>
      </w:r>
      <w:r>
        <w:rPr>
          <w:rFonts w:eastAsia="Arial" w:cs="Arial" w:ascii="Arial" w:hAnsi="Arial"/>
          <w:color w:val="000000"/>
          <w:sz w:val="24"/>
          <w:szCs w:val="24"/>
        </w:rPr>
        <w:t>podem ser objetivamente estabelecidos no edital. Seguem as especificações usuais no mercado.</w:t>
      </w:r>
    </w:p>
    <w:p>
      <w:pPr>
        <w:pStyle w:val="Normal"/>
        <w:numPr>
          <w:ilvl w:val="0"/>
          <w:numId w:val="6"/>
        </w:numPr>
        <w:tabs>
          <w:tab w:val="clear" w:pos="720"/>
          <w:tab w:val="center" w:pos="4252" w:leader="none"/>
          <w:tab w:val="left" w:pos="7650" w:leader="none"/>
        </w:tabs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Bens e serviços especiais: apresentam características especiais </w:t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ind w:left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 lei 14.133/21,</w:t>
      </w:r>
      <w:r>
        <w:rPr>
          <w:rFonts w:eastAsia="Arial" w:cs="Arial" w:ascii="Arial" w:hAnsi="Arial"/>
          <w:i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art 19, § 3°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indica que, nas licitações de obras e serviços de engenharia e arquitetura, sempre que adequada ao objeto da licitação, será preferencialmente adotada a MODELAGEM DE INFORMAÇÃO DA CONSTRUÇÃO </w:t>
      </w:r>
      <w:r>
        <w:rPr>
          <w:rFonts w:eastAsia="Arial" w:cs="Arial" w:ascii="Arial" w:hAnsi="Arial"/>
          <w:i/>
          <w:color w:val="000000"/>
          <w:sz w:val="24"/>
          <w:szCs w:val="24"/>
        </w:rPr>
        <w:t>(Building Information Modelling)</w:t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Trata-se de um conjunto de tecnologia e processos integrativos que permite a criação, a utilização e a atualização de modelos digitais de uma construção, de modo colaborativo, que sirva a todos os participantes do empreendimento, em qualquer etapa do ciclo de vida da construção.</w:t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Observação importante: </w:t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Todo ano, os valores serão atualizados por Decretos emitidos pelo Presidente da República conforme dispõe o art 182 da Lei 14.133/21. A atualização será pelo IPCA- E ( </w:t>
      </w:r>
      <w:r>
        <w:rPr>
          <w:rFonts w:eastAsia="Arial" w:cs="Arial" w:ascii="Arial" w:hAnsi="Arial"/>
          <w:b/>
          <w:sz w:val="24"/>
          <w:szCs w:val="24"/>
        </w:rPr>
        <w:t>Índice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 Nacional  de Preços ao Consumidor Amplo Especial ou por índice que venha a substituí-lo </w:t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/>
          <w:sz w:val="24"/>
          <w:szCs w:val="24"/>
        </w:rPr>
        <w:t>Os valores usados</w:t>
      </w:r>
      <w:r>
        <w:rPr>
          <w:rFonts w:eastAsia="Arial" w:cs="Arial" w:ascii="Arial" w:hAnsi="Arial"/>
          <w:b/>
          <w:bCs/>
          <w:color w:val="111111"/>
          <w:sz w:val="24"/>
          <w:szCs w:val="24"/>
          <w:u w:val="none"/>
        </w:rPr>
        <w:t xml:space="preserve"> </w:t>
      </w:r>
      <w:r>
        <w:rPr>
          <w:rFonts w:eastAsia="Arial" w:cs="Arial" w:ascii="Arial" w:hAnsi="Arial"/>
          <w:b/>
          <w:bCs/>
          <w:color w:val="111111"/>
          <w:sz w:val="24"/>
          <w:szCs w:val="24"/>
          <w:u w:val="none"/>
        </w:rPr>
        <w:t>em 202</w:t>
      </w:r>
      <w:r>
        <w:rPr>
          <w:rFonts w:eastAsia="Arial" w:cs="Arial" w:ascii="Arial" w:hAnsi="Arial"/>
          <w:b/>
          <w:bCs/>
          <w:color w:val="111111"/>
          <w:sz w:val="24"/>
          <w:szCs w:val="24"/>
          <w:u w:val="none"/>
        </w:rPr>
        <w:t>5</w:t>
      </w:r>
      <w:r>
        <w:rPr>
          <w:rFonts w:eastAsia="Arial" w:cs="Arial" w:ascii="Arial" w:hAnsi="Arial"/>
          <w:b/>
          <w:bCs/>
          <w:color w:val="111111"/>
          <w:sz w:val="24"/>
          <w:szCs w:val="24"/>
          <w:u w:val="none"/>
        </w:rPr>
        <w:t xml:space="preserve"> foram atualizados pelo </w:t>
      </w:r>
      <w:hyperlink r:id="rId9">
        <w:r>
          <w:rPr>
            <w:rStyle w:val="Hyperlink"/>
            <w:rFonts w:eastAsia="Arial" w:cs="Arial" w:ascii="Arial" w:hAnsi="Arial"/>
            <w:b/>
            <w:bCs/>
            <w:i w:val="false"/>
            <w:caps w:val="false"/>
            <w:smallCaps w:val="false"/>
            <w:color w:val="111111"/>
            <w:spacing w:val="0"/>
            <w:sz w:val="24"/>
            <w:szCs w:val="24"/>
            <w:u w:val="none"/>
          </w:rPr>
          <w:t>DECRETO Nº 12.343, DE 30 DE DEZEMBRO DE 2024</w:t>
        </w:r>
      </w:hyperlink>
      <w:r>
        <w:rPr>
          <w:rFonts w:eastAsia="Arial" w:cs="Arial" w:ascii="Arial" w:hAnsi="Arial"/>
          <w:b/>
          <w:bCs/>
          <w:color w:val="111111"/>
          <w:sz w:val="24"/>
          <w:szCs w:val="24"/>
          <w:u w:val="none"/>
        </w:rPr>
        <w:t xml:space="preserve"> </w:t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162937"/>
          <w:sz w:val="24"/>
          <w:szCs w:val="24"/>
          <w:highlight w:val="white"/>
        </w:rPr>
        <w:t xml:space="preserve">Art 6 (...)XXII - obras, serviços e fornecimentos de grande vulto: aquelas cujo valor estimado supera </w:t>
      </w:r>
      <w:r>
        <w:rPr>
          <w:rFonts w:cs="Arial" w:ascii="Arial" w:hAnsi="Arial"/>
          <w:color w:val="000000"/>
          <w:sz w:val="24"/>
          <w:szCs w:val="24"/>
        </w:rPr>
        <w:t xml:space="preserve"> R$ 250.902.323,87 (duzentos e cinquenta milhões novecentos e dois mil trezentos e vinte e três reais e oitenta e sete centavos) </w:t>
      </w:r>
      <w:r>
        <w:rPr>
          <w:rFonts w:eastAsia="Arial" w:cs="Arial" w:ascii="Arial" w:hAnsi="Arial"/>
          <w:color w:val="162937"/>
          <w:sz w:val="24"/>
          <w:szCs w:val="24"/>
          <w:highlight w:val="white"/>
        </w:rPr>
        <w:t xml:space="preserve">Na vigência do </w:t>
      </w:r>
      <w:hyperlink r:id="rId10">
        <w:r>
          <w:rPr>
            <w:rStyle w:val="Hyperlink"/>
            <w:rFonts w:eastAsia="Arial" w:cs="Arial" w:ascii="Arial" w:hAnsi="Arial"/>
            <w:b/>
            <w:bCs/>
            <w:i w:val="false"/>
            <w:caps w:val="false"/>
            <w:smallCaps w:val="false"/>
            <w:color w:val="000080"/>
            <w:spacing w:val="0"/>
            <w:sz w:val="20"/>
            <w:szCs w:val="24"/>
            <w:highlight w:val="white"/>
          </w:rPr>
          <w:t>DECRETO Nº 12.343, DE 30 DE DEZEMBRO DE 2024</w:t>
        </w:r>
      </w:hyperlink>
      <w:r>
        <w:rPr>
          <w:rFonts w:eastAsia="Arial" w:cs="Arial" w:ascii="Arial" w:hAnsi="Arial"/>
          <w:b/>
          <w:bCs/>
          <w:color w:val="162937"/>
          <w:sz w:val="24"/>
          <w:szCs w:val="24"/>
          <w:highlight w:val="white"/>
        </w:rPr>
        <w:t xml:space="preserve"> </w:t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162937"/>
          <w:sz w:val="24"/>
          <w:szCs w:val="24"/>
          <w:highlight w:val="white"/>
        </w:rPr>
        <w:t>Nesse caso, deverá haver a Matriz de Risco :</w:t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162937"/>
          <w:sz w:val="24"/>
          <w:szCs w:val="24"/>
          <w:highlight w:val="white"/>
        </w:rPr>
        <w:t xml:space="preserve">Art 6° </w:t>
      </w: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XXVII –</w:t>
      </w:r>
      <w:r>
        <w:rPr>
          <w:rFonts w:eastAsia="Arial" w:cs="Arial" w:ascii="Arial" w:hAnsi="Arial"/>
          <w:color w:val="162937"/>
          <w:sz w:val="24"/>
          <w:szCs w:val="24"/>
          <w:highlight w:val="white"/>
        </w:rPr>
        <w:t xml:space="preserve"> </w:t>
      </w: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cláusula contratual definidora de riscos e de responsabilidades entre as partes e caracterizadora do equilíbrio econômico-financeiro inicial do contrato, em termos de ônus financeiro decorrente de eventos supervenientes à contratação, contendo, no mínimo, as seguintes informações</w:t>
      </w:r>
      <w:r>
        <w:rPr>
          <w:rFonts w:eastAsia="Arial" w:cs="Arial" w:ascii="Arial" w:hAnsi="Arial"/>
          <w:color w:val="162937"/>
          <w:sz w:val="24"/>
          <w:szCs w:val="24"/>
          <w:highlight w:val="white"/>
        </w:rPr>
        <w:t xml:space="preserve">  </w:t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eastAsia="Arial" w:cs="Arial"/>
          <w:color w:val="162937"/>
          <w:sz w:val="24"/>
          <w:szCs w:val="24"/>
          <w:highlight w:val="white"/>
        </w:rPr>
      </w:pPr>
      <w:r>
        <w:rPr>
          <w:rFonts w:eastAsia="Arial" w:cs="Arial" w:ascii="Arial" w:hAnsi="Arial"/>
          <w:color w:val="162937"/>
          <w:sz w:val="24"/>
          <w:szCs w:val="24"/>
          <w:highlight w:val="white"/>
        </w:rPr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162937"/>
          <w:sz w:val="24"/>
          <w:szCs w:val="24"/>
          <w:highlight w:val="white"/>
        </w:rPr>
        <w:t xml:space="preserve">Importante: </w:t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color w:val="162937"/>
          <w:sz w:val="24"/>
          <w:szCs w:val="24"/>
        </w:rPr>
        <w:t>Art. 20.</w:t>
      </w:r>
      <w:r>
        <w:rPr>
          <w:rFonts w:eastAsia="Arial" w:cs="Arial" w:ascii="Arial" w:hAnsi="Arial"/>
          <w:color w:val="162937"/>
          <w:sz w:val="24"/>
          <w:szCs w:val="24"/>
        </w:rPr>
        <w:t xml:space="preserve"> Os itens de consumo adquiridos para suprir as demandas das estruturas da Administração Pública </w:t>
      </w:r>
      <w:r>
        <w:rPr>
          <w:rFonts w:eastAsia="Arial" w:cs="Arial" w:ascii="Arial" w:hAnsi="Arial"/>
          <w:b/>
          <w:color w:val="162937"/>
          <w:sz w:val="24"/>
          <w:szCs w:val="24"/>
        </w:rPr>
        <w:t>deverão ser de qualidade comum</w:t>
      </w:r>
      <w:r>
        <w:rPr>
          <w:rFonts w:eastAsia="Arial" w:cs="Arial" w:ascii="Arial" w:hAnsi="Arial"/>
          <w:color w:val="162937"/>
          <w:sz w:val="24"/>
          <w:szCs w:val="24"/>
        </w:rPr>
        <w:t xml:space="preserve">, não superior à necessária para cumprir as finalidades às quais se destinam, vedada a aquisição de artigos de luxo. </w:t>
      </w:r>
      <w:r>
        <w:rPr>
          <w:rFonts w:eastAsia="Arial" w:cs="Arial" w:ascii="Arial" w:hAnsi="Arial"/>
          <w:b/>
          <w:color w:val="162937"/>
          <w:sz w:val="24"/>
          <w:szCs w:val="24"/>
        </w:rPr>
        <w:t>VEDAÇÃO À AQUISIÇÃO DE ARTIGOS DE LUXO</w:t>
      </w:r>
    </w:p>
    <w:p>
      <w:pPr>
        <w:pStyle w:val="Normal"/>
        <w:shd w:val="clear" w:color="auto" w:fill="FFFFFF"/>
        <w:spacing w:lineRule="auto" w:line="360" w:before="0" w:after="15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162937"/>
          <w:sz w:val="24"/>
          <w:szCs w:val="24"/>
        </w:rPr>
        <w:t>§ 1º Os Poderes Executivo, Legislativo e Judiciário definirão em regulamento os limites para o enquadramento dos bens de consumo nas categorias comum e luxo.</w:t>
      </w:r>
    </w:p>
    <w:p>
      <w:pPr>
        <w:pStyle w:val="Normal"/>
        <w:tabs>
          <w:tab w:val="clear" w:pos="720"/>
          <w:tab w:val="center" w:pos="4252" w:leader="none"/>
          <w:tab w:val="left" w:pos="7650" w:leader="none"/>
        </w:tabs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Previsão Constitucional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Art. 22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. Compete privativamente à </w:t>
      </w:r>
      <w:r>
        <w:rPr>
          <w:rFonts w:eastAsia="Arial" w:cs="Arial" w:ascii="Arial" w:hAnsi="Arial"/>
          <w:b/>
          <w:color w:val="000000"/>
          <w:sz w:val="24"/>
          <w:szCs w:val="24"/>
          <w:u w:val="single"/>
        </w:rPr>
        <w:t>União legislar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sobre: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XXVII –</w:t>
      </w:r>
      <w:r>
        <w:rPr>
          <w:rFonts w:eastAsia="Arial" w:cs="Arial" w:ascii="Arial" w:hAnsi="Arial"/>
          <w:color w:val="000000"/>
          <w:sz w:val="24"/>
          <w:szCs w:val="24"/>
          <w:u w:val="single"/>
        </w:rPr>
        <w:t xml:space="preserve"> normas gerais de licitação e contratação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, em todas as modalidades, para a administração pública, direta e indireta, incluídas as fundações instituídas e mantidas pelo Poder Público, nas diversas esferas de governo, e empresas sob seu controle; 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(...)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.XXI – ressalvados os casos especificados na legislação, as obras, serviços, compras e alienações serão contratados mediante processo de licitação pública que assegure </w:t>
      </w:r>
      <w:r>
        <w:rPr>
          <w:rFonts w:eastAsia="Arial" w:cs="Arial" w:ascii="Arial" w:hAnsi="Arial"/>
          <w:color w:val="000000"/>
          <w:sz w:val="24"/>
          <w:szCs w:val="24"/>
          <w:u w:val="single"/>
        </w:rPr>
        <w:t>igualdade de condições a todos os concorrentes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, com cláusulas que estabeleçam obrigações de pagamento, mantidas as condições efetivas da proposta, nos termos da lei, o qual somente permitirá </w:t>
      </w:r>
      <w:r>
        <w:rPr>
          <w:rFonts w:eastAsia="Arial" w:cs="Arial" w:ascii="Arial" w:hAnsi="Arial"/>
          <w:color w:val="000000"/>
          <w:sz w:val="24"/>
          <w:szCs w:val="24"/>
          <w:u w:val="single"/>
        </w:rPr>
        <w:t xml:space="preserve">as exigências de qualificação técnica e econômica indispensáveis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à garantia do cumprimento das obrigações.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POR QUE UMA NOVA LEI DE LICITAÇÃO?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 lei 8666/93 prevê um formalismo excessivo no processo de licitação trazendo consequências indesejáveis para os contratos da Administração pública.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 lei 14.133/21 foi publicada no dia 01.04.2021 e já entrou em vigor nessa mesma data.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Durante o prazo de 2 anos (então até 31.03.2023) a Administração Pública poderia escolher qual a lei de licitação a incidir numa contratação pública.(ou seja a legislação antiga ou a nova lei)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Durante esse período, a Administração poderá optar por qual aplicar deixando expresso no edital.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 exceção é para a parte dos crimes licitatórios, que substituiu de imediato, as regras anteriores.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Na data de 03. 04. 2023 a Medida Provisória n.1167/2023 determinou que até 30 de dez de 2023 o Poder Público poderia usar a Lei 8666/93 e a Lei 14.133/21.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HOJE INCIDE APENAS A LEI 14.133/21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  <w:u w:val="single"/>
        </w:rPr>
        <w:t>O que foi revogado?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Lei 8666/93 (modalidades: tomada de preço e convite)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Lei do Pregão (lei 10.520/02) (o Pregão está na lei 14.133/21)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Lei do RDC (lei 12.462/11) (Regime Diferenciado de Contratações Públicas)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Quais os entes que são obrigados a licitar?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 Administração Direta, as entidades da administração indireta com personalidade jurídica de direito público (autarquias e fundações públicas) 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O Poder Legislativo e o Poder Judiciário quando exercerem função administrativa</w:t>
      </w:r>
    </w:p>
    <w:p>
      <w:pPr>
        <w:pStyle w:val="Normal"/>
        <w:numPr>
          <w:ilvl w:val="0"/>
          <w:numId w:val="3"/>
        </w:numPr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Fundos Especiais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Entidades Controladas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NÃO SÃO</w:t>
      </w:r>
      <w:r>
        <w:rPr>
          <w:rFonts w:eastAsia="Arial" w:cs="Arial" w:ascii="Arial" w:hAnsi="Arial"/>
          <w:sz w:val="24"/>
          <w:szCs w:val="24"/>
        </w:rPr>
        <w:t xml:space="preserve"> abrangidas por esta Lei as</w:t>
      </w:r>
      <w:r>
        <w:rPr>
          <w:rFonts w:eastAsia="Arial" w:cs="Arial" w:ascii="Arial" w:hAnsi="Arial"/>
          <w:b/>
          <w:sz w:val="24"/>
          <w:szCs w:val="24"/>
        </w:rPr>
        <w:t xml:space="preserve"> empresas públicas, as sociedades de economia mista e as suas subsidiárias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(Independente da atividade que exercem) seguem a lei 13.303 de 2016.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 nova lei de licitação </w:t>
      </w:r>
      <w:r>
        <w:rPr>
          <w:rFonts w:eastAsia="Arial" w:cs="Arial" w:ascii="Arial" w:hAnsi="Arial"/>
          <w:b/>
          <w:color w:val="000000"/>
          <w:sz w:val="24"/>
          <w:szCs w:val="24"/>
        </w:rPr>
        <w:t>não revoga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a lei de licitação das estatais. Aplica-se </w:t>
      </w:r>
      <w:r>
        <w:rPr>
          <w:rFonts w:eastAsia="Arial" w:cs="Arial" w:ascii="Arial" w:hAnsi="Arial"/>
          <w:sz w:val="24"/>
          <w:szCs w:val="24"/>
        </w:rPr>
        <w:t>às disposições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penais de crimes de licitação trazidos </w:t>
      </w:r>
      <w:r>
        <w:rPr>
          <w:rFonts w:eastAsia="Arial" w:cs="Arial" w:ascii="Arial" w:hAnsi="Arial"/>
          <w:sz w:val="24"/>
          <w:szCs w:val="24"/>
        </w:rPr>
        <w:t>pela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Nova Lei.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Não se aplica a lei de licitação: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Repartições Públicas no exterior :</w:t>
      </w:r>
      <w:r>
        <w:rPr>
          <w:rFonts w:eastAsia="Arial" w:cs="Arial" w:ascii="Arial" w:hAnsi="Arial"/>
          <w:color w:val="4A86E8"/>
          <w:sz w:val="24"/>
          <w:szCs w:val="24"/>
        </w:rPr>
        <w:t xml:space="preserve"> Regulamento Próprio</w:t>
      </w:r>
    </w:p>
    <w:p>
      <w:pPr>
        <w:pStyle w:val="Normal"/>
        <w:numPr>
          <w:ilvl w:val="0"/>
          <w:numId w:val="4"/>
        </w:numPr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Recursos de agências e organismos internacionais</w:t>
      </w:r>
      <w:r>
        <w:rPr>
          <w:rFonts w:eastAsia="Arial" w:cs="Arial" w:ascii="Arial" w:hAnsi="Arial"/>
          <w:sz w:val="24"/>
          <w:szCs w:val="24"/>
        </w:rPr>
        <w:t>:</w:t>
      </w:r>
      <w:r>
        <w:rPr>
          <w:rFonts w:eastAsia="Arial" w:cs="Arial" w:ascii="Arial" w:hAnsi="Arial"/>
          <w:color w:val="0000FF"/>
          <w:sz w:val="24"/>
          <w:szCs w:val="24"/>
        </w:rPr>
        <w:t xml:space="preserve"> Regras próprias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Reservas Internacionais ( </w:t>
      </w:r>
      <w:r>
        <w:rPr>
          <w:rFonts w:eastAsia="Arial" w:cs="Arial" w:ascii="Arial" w:hAnsi="Arial"/>
          <w:color w:val="38761D"/>
          <w:sz w:val="24"/>
          <w:szCs w:val="24"/>
        </w:rPr>
        <w:t>atos normativos do Banco Central</w:t>
      </w:r>
      <w:r>
        <w:rPr>
          <w:rFonts w:eastAsia="Arial" w:cs="Arial" w:ascii="Arial" w:hAnsi="Arial"/>
          <w:color w:val="000000"/>
          <w:sz w:val="24"/>
          <w:szCs w:val="24"/>
        </w:rPr>
        <w:t>)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O QUE TRAZ DE NOVIDADE NA LEI 14.133/21 ?</w:t>
      </w:r>
    </w:p>
    <w:p>
      <w:pPr>
        <w:pStyle w:val="Normal"/>
        <w:numPr>
          <w:ilvl w:val="0"/>
          <w:numId w:val="7"/>
        </w:numPr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 ideia de resultado mais vantajoso e inovação</w:t>
      </w:r>
    </w:p>
    <w:p>
      <w:pPr>
        <w:pStyle w:val="Normal"/>
        <w:numPr>
          <w:ilvl w:val="0"/>
          <w:numId w:val="7"/>
        </w:numPr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Ideias </w:t>
      </w:r>
      <w:r>
        <w:rPr>
          <w:rFonts w:eastAsia="Arial" w:cs="Arial" w:ascii="Arial" w:hAnsi="Arial"/>
          <w:sz w:val="24"/>
          <w:szCs w:val="24"/>
        </w:rPr>
        <w:t>europeias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e EUA ( diálogo competitivo)</w:t>
      </w:r>
    </w:p>
    <w:p>
      <w:pPr>
        <w:pStyle w:val="Normal"/>
        <w:numPr>
          <w:ilvl w:val="0"/>
          <w:numId w:val="7"/>
        </w:numPr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Planejamento, Matriz de Risco e ciclo de vida do objeto</w:t>
      </w:r>
    </w:p>
    <w:p>
      <w:pPr>
        <w:pStyle w:val="Normal"/>
        <w:numPr>
          <w:ilvl w:val="0"/>
          <w:numId w:val="7"/>
        </w:numPr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Parte principiológica mais detalhada ( art 5)</w:t>
      </w:r>
    </w:p>
    <w:p>
      <w:pPr>
        <w:pStyle w:val="Normal"/>
        <w:numPr>
          <w:ilvl w:val="0"/>
          <w:numId w:val="7"/>
        </w:numPr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Mescla rigidez e flexibilidade</w:t>
      </w:r>
    </w:p>
    <w:p>
      <w:pPr>
        <w:pStyle w:val="Normal"/>
        <w:numPr>
          <w:ilvl w:val="0"/>
          <w:numId w:val="7"/>
        </w:numPr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Remuneração variada da empresa</w:t>
      </w:r>
    </w:p>
    <w:p>
      <w:pPr>
        <w:pStyle w:val="Normal"/>
        <w:numPr>
          <w:ilvl w:val="0"/>
          <w:numId w:val="7"/>
        </w:numPr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Governança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na Administração Pública</w:t>
      </w:r>
    </w:p>
    <w:p>
      <w:pPr>
        <w:pStyle w:val="Normal"/>
        <w:numPr>
          <w:ilvl w:val="0"/>
          <w:numId w:val="7"/>
        </w:numPr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Alinhamento com a lei orçamentária com o PCA ( PLANO DE CONTRATAÇÃO ANUAL)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Não há uma ruptura total </w:t>
      </w:r>
      <w:r>
        <w:rPr>
          <w:rFonts w:eastAsia="Arial" w:cs="Arial" w:ascii="Arial" w:hAnsi="Arial"/>
          <w:sz w:val="24"/>
          <w:szCs w:val="24"/>
        </w:rPr>
        <w:t>com as ideias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da antiga lei.</w:t>
      </w:r>
    </w:p>
    <w:p>
      <w:pPr>
        <w:pStyle w:val="Normal"/>
        <w:spacing w:lineRule="auto" w:line="360"/>
        <w:ind w:left="720"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MODO DE DISPUTA: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- aberto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- fechado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A Administração escolherá o tipo de julgamento por 2 critérios: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 natureza do objeto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Modalidade de licitação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*** Não há mais escolha pelo valor do objeto.</w:t>
      </w:r>
    </w:p>
    <w:p>
      <w:pPr>
        <w:pStyle w:val="Normal"/>
        <w:spacing w:lineRule="auto" w:line="360" w:before="0" w:after="20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EB Garamond Extra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Arial">
    <w:charset w:val="00"/>
    <w:family w:val="auto"/>
    <w:pitch w:val="default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fc43dc"/>
    <w:rPr>
      <w:rFonts w:ascii="Times New Roman" w:hAnsi="Times New Roman" w:eastAsia="Times New Roman" w:cs="Times New Roman"/>
      <w:sz w:val="24"/>
      <w:szCs w:val="24"/>
      <w:lang w:val="pt-PT" w:eastAsia="en-US"/>
    </w:rPr>
  </w:style>
  <w:style w:type="character" w:styleId="InternetLink" w:customStyle="1">
    <w:name w:val="Internet Link"/>
    <w:basedOn w:val="DefaultParagraphFont"/>
    <w:uiPriority w:val="99"/>
    <w:semiHidden/>
    <w:unhideWhenUsed/>
    <w:qFormat/>
    <w:rsid w:val="00fc43dc"/>
    <w:rPr>
      <w:color w:val="0000FF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detextoChar"/>
    <w:uiPriority w:val="1"/>
    <w:unhideWhenUsed/>
    <w:qFormat/>
    <w:rsid w:val="00fc43dc"/>
    <w:pPr>
      <w:widowControl w:val="false"/>
      <w:spacing w:lineRule="auto" w:line="240" w:before="0" w:after="0"/>
      <w:ind w:left="221"/>
    </w:pPr>
    <w:rPr>
      <w:rFonts w:ascii="Times New Roman" w:hAnsi="Times New Roman" w:eastAsia="Times New Roman" w:cs="Times New Roman"/>
      <w:sz w:val="24"/>
      <w:szCs w:val="24"/>
      <w:lang w:val="pt-PT" w:eastAsia="en-US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 w:customStyle="1">
    <w:name w:val="Conteúdo do quadro"/>
    <w:basedOn w:val="Normal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contato@bll.org.br" TargetMode="External"/><Relationship Id="rId5" Type="http://schemas.openxmlformats.org/officeDocument/2006/relationships/hyperlink" Target="http://www.gov.br/pncp/pt-br" TargetMode="External"/><Relationship Id="rId6" Type="http://schemas.openxmlformats.org/officeDocument/2006/relationships/hyperlink" Target="http://www.diariooficialms.com.br/" TargetMode="External"/><Relationship Id="rId7" Type="http://schemas.openxmlformats.org/officeDocument/2006/relationships/hyperlink" Target="mailto:licitapref@hotmail.com" TargetMode="External"/><Relationship Id="rId8" Type="http://schemas.openxmlformats.org/officeDocument/2006/relationships/image" Target="media/image3.jpeg"/><Relationship Id="rId9" Type="http://schemas.openxmlformats.org/officeDocument/2006/relationships/hyperlink" Target="http://legislacao.planalto.gov.br/legisla/legislacao.nsf/Viw_Identificacao/DEC%2012.343-2024?OpenDocument" TargetMode="External"/><Relationship Id="rId10" Type="http://schemas.openxmlformats.org/officeDocument/2006/relationships/hyperlink" Target="http://legislacao.planalto.gov.br/legisla/legislacao.nsf/Viw_Identificacao/DEC%2012.343-2024?OpenDocument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KpnEuUmZHxDgnzy2qJL8qhwug/Q==">CgMxLjAaJAoBMBIfCh0IB0IZCgVBcmlhbBIQQXJpYWwgVW5pY29kZSBNUzIJaWQuZ2pkZ3hzMgppZC4zMGowemxsOABqJgoUc3VnZ2VzdC5mY3RwZzFrOHdzNXkSDk1ZTEFOTkUgU0FOVE9TaiYKFHN1Z2dlc3QuOWFreGdnb2s5Z3NmEg5NWUxBTk5FIFNBTlRPU3IhMVJub0k3OFJXV0M5UXR6Q0pvZWNhd2IybWZYZ1RyX3kx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LibreOffice/24.2.5.2$Windows_X86_64 LibreOffice_project/bffef4ea93e59bebbeaf7f431bb02b1a39ee8a59</Application>
  <AppVersion>15.0000</AppVersion>
  <Pages>9</Pages>
  <Words>1439</Words>
  <Characters>8147</Characters>
  <CharactersWithSpaces>9485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2025-02-03T19:25:00Z</dcterms:created>
  <dc:creator>Julianna Vasconcelos</dc:creator>
  <dc:description/>
  <dc:language>pt-BR</dc:language>
  <cp:lastModifiedBy/>
  <dcterms:modified xsi:type="dcterms:W3CDTF">2025-02-12T19:34:56Z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