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E40AF"/>
          <w:sz w:val="40"/>
        </w:rPr>
        <w:t>Tessera — Presentazione del software</w:t>
      </w:r>
    </w:p>
    <w:p>
      <w:pPr>
        <w:spacing w:before="40" w:after="40"/>
        <w:ind w:left="454"/>
      </w:pPr>
      <w:r>
        <w:rPr>
          <w:b/>
          <w:i/>
          <w:color w:val="64748B"/>
          <w:sz w:val="19"/>
        </w:rPr>
        <w:t>Versione documento:</w:t>
      </w:r>
      <w:r>
        <w:rPr>
          <w:i/>
          <w:color w:val="64748B"/>
          <w:sz w:val="19"/>
        </w:rPr>
        <w:t xml:space="preserve"> 1.0 · </w:t>
      </w:r>
      <w:r>
        <w:rPr>
          <w:b/>
          <w:i/>
          <w:color w:val="64748B"/>
          <w:sz w:val="19"/>
        </w:rPr>
        <w:t>Data:</w:t>
      </w:r>
      <w:r>
        <w:rPr>
          <w:i/>
          <w:color w:val="64748B"/>
          <w:sz w:val="19"/>
        </w:rPr>
        <w:t xml:space="preserve"> 2026-05-25 · </w:t>
      </w:r>
      <w:r>
        <w:rPr>
          <w:b/>
          <w:i/>
          <w:color w:val="64748B"/>
          <w:sz w:val="19"/>
        </w:rPr>
        <w:t>Autore:</w:t>
      </w:r>
      <w:r>
        <w:rPr>
          <w:i/>
          <w:color w:val="64748B"/>
          <w:sz w:val="19"/>
        </w:rPr>
        <w:t xml:space="preserve"> Mario De Vita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Indice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1.  </w:t>
      </w:r>
      <w:r>
        <w:rPr>
          <w:color w:val="1D4ED8"/>
          <w:sz w:val="20"/>
        </w:rPr>
        <w:t>Cos'è Tessera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2.  </w:t>
      </w:r>
      <w:r>
        <w:rPr>
          <w:color w:val="1D4ED8"/>
          <w:sz w:val="20"/>
        </w:rPr>
        <w:t>A chi si rivolge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3.  </w:t>
      </w:r>
      <w:r>
        <w:rPr>
          <w:color w:val="1D4ED8"/>
          <w:sz w:val="20"/>
        </w:rPr>
        <w:t>Finalità del software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4.  </w:t>
      </w:r>
      <w:r>
        <w:rPr>
          <w:color w:val="1D4ED8"/>
          <w:sz w:val="20"/>
        </w:rPr>
        <w:t>Caratteristiche funzionali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5.  </w:t>
      </w:r>
      <w:r>
        <w:rPr>
          <w:color w:val="1D4ED8"/>
          <w:sz w:val="20"/>
        </w:rPr>
        <w:t>Architettura e tecnologia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6.  </w:t>
      </w:r>
      <w:r>
        <w:rPr>
          <w:color w:val="1D4ED8"/>
          <w:sz w:val="20"/>
        </w:rPr>
        <w:t>Sicurezza e conformità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7.  </w:t>
      </w:r>
      <w:r>
        <w:rPr>
          <w:color w:val="1D4ED8"/>
          <w:sz w:val="20"/>
        </w:rPr>
        <w:t>Il modello SaaS multi-tenant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8.  </w:t>
      </w:r>
      <w:r>
        <w:rPr>
          <w:color w:val="1D4ED8"/>
          <w:sz w:val="20"/>
        </w:rPr>
        <w:t>L'area consulente — collaborazione con il commercialista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9.  </w:t>
      </w:r>
      <w:r>
        <w:rPr>
          <w:color w:val="1D4ED8"/>
          <w:sz w:val="20"/>
        </w:rPr>
        <w:t>Cosa Tessera NON è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10.  </w:t>
      </w:r>
      <w:r>
        <w:rPr>
          <w:color w:val="1D4ED8"/>
          <w:sz w:val="20"/>
        </w:rPr>
        <w:t>Sviluppi futuri</w:t>
      </w:r>
    </w:p>
    <w:p>
      <w:pPr>
        <w:pStyle w:val="ListNumber"/>
        <w:spacing w:before="20" w:after="20"/>
        <w:ind w:left="283"/>
      </w:pPr>
      <w:r>
        <w:rPr>
          <w:b/>
          <w:color w:val="1D4ED8"/>
          <w:sz w:val="20"/>
        </w:rPr>
        <w:t xml:space="preserve">11.  </w:t>
      </w:r>
      <w:r>
        <w:rPr>
          <w:color w:val="1D4ED8"/>
          <w:sz w:val="20"/>
        </w:rPr>
        <w:t>Informazioni tecniche per l'installazione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1. Cos'è Tessera</w:t>
      </w:r>
    </w:p>
    <w:p>
      <w:pPr>
        <w:spacing w:before="40" w:after="120"/>
      </w:pPr>
      <w:r>
        <w:rPr>
          <w:b/>
        </w:rPr>
        <w:t>Tessera</w:t>
      </w:r>
      <w:r>
        <w:t xml:space="preserve"> è una piattaforma gestionale SaaS (Software as a Service) </w:t>
      </w:r>
      <w:r>
        <w:rPr>
          <w:b/>
        </w:rPr>
        <w:t>multi-tenant</w:t>
      </w:r>
      <w:r>
        <w:t xml:space="preserve">, sviluppata specificamente per le realtà del </w:t>
      </w:r>
      <w:r>
        <w:rPr>
          <w:b/>
        </w:rPr>
        <w:t>Terzo Settore italiano</w:t>
      </w:r>
      <w:r>
        <w:t xml:space="preserve"> e per le </w:t>
      </w:r>
      <w:r>
        <w:rPr>
          <w:b/>
        </w:rPr>
        <w:t>Cooperative</w:t>
      </w:r>
      <w:r>
        <w:t>.</w:t>
      </w:r>
    </w:p>
    <w:p>
      <w:pPr>
        <w:spacing w:before="40" w:after="120"/>
      </w:pPr>
      <w:r>
        <w:t xml:space="preserve">Il software nasce dall'esigenza concreta di dotare associazioni, ODV, APS, fondazioni e cooperative di uno strumento </w:t>
      </w:r>
      <w:r>
        <w:rPr>
          <w:b/>
        </w:rPr>
        <w:t>operativo e completo</w:t>
      </w:r>
      <w:r>
        <w:t xml:space="preserve"> che copra tutte le attività quotidiane di gestione: dai soci alla cassa, dai documenti agli organi sociali, fino agli adempimenti di legge.</w:t>
      </w:r>
    </w:p>
    <w:p>
      <w:pPr>
        <w:spacing w:before="40" w:after="120"/>
      </w:pPr>
      <w:r>
        <w:t xml:space="preserve">Tessera è progettato per </w:t>
      </w:r>
      <w:r>
        <w:rPr>
          <w:b/>
        </w:rPr>
        <w:t>coesistere</w:t>
      </w:r>
      <w:r>
        <w:t xml:space="preserve"> con i software contabili dei professionisti (commercialisti, consulenti del lavoro) — non per sostituirli. Il suo ruolo è quello di </w:t>
      </w:r>
      <w:r>
        <w:rPr>
          <w:b/>
        </w:rPr>
        <w:t>data layer operativo</w:t>
      </w:r>
      <w:r>
        <w:t>: l'ente raccoglie, organizza e gestisce i dati; il professionista li preleva nei formati che gli servono.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2. A chi si rivolge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Enti del Terzo Settore (ETS)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Associazioni di Promozione Sociale (APS)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Organizzazioni di Volontariato (ODV)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Fondazioni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Enti di culto e religiosi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Qualsiasi ente iscritto o iscrivibile al RUNTS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Cooperative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Cooperative di lavoro, sociali (A e B), agricole, di comunità, di consumo, di abitazione, consortili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Tutte le tipologie previste dalla normativa italiana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Professionisti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Commercialisti e consulenti del lavoro che seguono più enti/cooperative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Studio professionale con accesso coordinato ai dati di ciascun cliente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3. Finalità del software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3.1 Gestione associativa completa</w:t>
      </w:r>
    </w:p>
    <w:p>
      <w:pPr>
        <w:spacing w:before="40" w:after="120"/>
      </w:pPr>
      <w:r>
        <w:t>Tessera digitalizza e centralizza l'intera vita amministrativa dell'ente: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Registro soci</w:t>
      </w:r>
      <w:r>
        <w:rPr>
          <w:sz w:val="20"/>
        </w:rPr>
        <w:t xml:space="preserve"> — anagrafica, tipologie, stati (domanda, ammissione, cessazione, morosità), libro soci ufficiale, tessere con numerazione progressiva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Organi sociali</w:t>
      </w:r>
      <w:r>
        <w:rPr>
          <w:sz w:val="20"/>
        </w:rPr>
        <w:t xml:space="preserve"> — Consiglio Direttivo, Assemblea, Organo di Controllo, incarichi, durate, mandati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Democrazia interna</w:t>
      </w:r>
      <w:r>
        <w:rPr>
          <w:sz w:val="20"/>
        </w:rPr>
        <w:t xml:space="preserve"> — gestione elezioni, candidature, voti e scrutinio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Documenti e verbali</w:t>
      </w:r>
      <w:r>
        <w:rPr>
          <w:sz w:val="20"/>
        </w:rPr>
        <w:t xml:space="preserve"> — archivio documentale strutturato, template, verbali assemblee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Atti fondativi</w:t>
      </w:r>
      <w:r>
        <w:rPr>
          <w:sz w:val="20"/>
        </w:rPr>
        <w:t xml:space="preserve"> — statuto e atto costitutivo digitalizzati e accessibili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3.2 Gestione economica operativa</w:t>
      </w:r>
    </w:p>
    <w:p>
      <w:pPr>
        <w:spacing w:before="40" w:after="120"/>
      </w:pPr>
      <w:r>
        <w:t>Tutto il flusso di entrate e uscite che l'ente genera quotidianamente: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Cassa</w:t>
      </w:r>
      <w:r>
        <w:rPr>
          <w:sz w:val="20"/>
        </w:rPr>
        <w:t xml:space="preserve"> — incassi quote, donazioni, incassi generici, spese, rimborsi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Ricevute e quietanze</w:t>
      </w:r>
      <w:r>
        <w:rPr>
          <w:sz w:val="20"/>
        </w:rPr>
        <w:t xml:space="preserve"> — emissione automatizzata con template personalizzati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Fatturazione</w:t>
      </w:r>
      <w:r>
        <w:rPr>
          <w:sz w:val="20"/>
        </w:rPr>
        <w:t xml:space="preserve"> — fatture attive e passive, Fattura Elettronica (XML SDI), note di credito, fatture semplificate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IVA</w:t>
      </w:r>
      <w:r>
        <w:rPr>
          <w:sz w:val="20"/>
        </w:rPr>
        <w:t xml:space="preserve"> — registri acquisti/vendite, liquidazioni mensili/trimestrali, LIPE XML, acconto IVA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Banca</w:t>
      </w:r>
      <w:r>
        <w:rPr>
          <w:sz w:val="20"/>
        </w:rPr>
        <w:t xml:space="preserve"> — RI.BA/CBI, riconciliazione bancaria, movimenti estratto conto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3.3 Adempimenti obbligatori ETS/Coop</w:t>
      </w:r>
    </w:p>
    <w:p>
      <w:pPr>
        <w:spacing w:before="40" w:after="120"/>
      </w:pPr>
      <w:r>
        <w:t>Gli output che la legge impone agli ETS e alle cooperative, prodotti direttamente dalla piattaforma: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Bilancio CEE</w:t>
      </w:r>
      <w:r>
        <w:rPr>
          <w:sz w:val="20"/>
        </w:rPr>
        <w:t xml:space="preserve"> — Stato Patrimoniale e Conto Economico in formato IV Direttiva, export XBRL per CCIAA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Relazione di Missione</w:t>
      </w:r>
      <w:r>
        <w:rPr>
          <w:sz w:val="20"/>
        </w:rPr>
        <w:t xml:space="preserve"> — obbligatoria per ETS ai sensi dell'art. 13 D.Lgs. 117/2017, con template PDF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Erogazioni Liberali</w:t>
      </w:r>
      <w:r>
        <w:rPr>
          <w:sz w:val="20"/>
        </w:rPr>
        <w:t xml:space="preserve"> — tracciamento 5x1000 e detrazioni, dati per la dichiarazione dei donatori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Cooperative</w:t>
      </w:r>
      <w:r>
        <w:rPr>
          <w:sz w:val="20"/>
        </w:rPr>
        <w:t>: Capitale Sociale, Prestito Sociale, Ristorni, Situazione Capitale, Conto Economico specifico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Adempimenti fiscali</w:t>
      </w:r>
      <w:r>
        <w:rPr>
          <w:sz w:val="20"/>
        </w:rPr>
        <w:t xml:space="preserve"> — compensi a terzi, ritenute d'acconto, Certificazione Unica (PDF), Modello F24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Cespiti</w:t>
      </w:r>
      <w:r>
        <w:rPr>
          <w:sz w:val="20"/>
        </w:rPr>
        <w:t xml:space="preserve"> — registro beni ammortizzabili, piani di ammortamento, dismissioni (per IMU e dichiarazioni)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3.4 Patrimonio e logistica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Immobili, sedi operative, magazzino e articoli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Gestione eventi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3.5 Supporto al commercialista</w:t>
      </w:r>
    </w:p>
    <w:p>
      <w:pPr>
        <w:spacing w:before="40" w:after="120"/>
      </w:pPr>
      <w:r>
        <w:t>Un'area dedicata consente al professionista esterno di accedere in modo sicuro e controllato ai dati di ciascun ente che segue, senza interferire con la gestione ordinaria. Questa funzione è descritta in dettaglio alla sezione 8.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4. Caratteristiche funzionali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4.1 Moduli disponibili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Funzionalità principali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Soci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Anagrafica, libro soci, tipologie, tessere (numerazione ANNO-NNN), scadenzario quote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Cassa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Quote, donazioni, incassi generici, ricevute, spese, rimborsi, fatture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Documenti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Archivio documentale, verbali, template email e ricevute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Organi e votazioni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Organi, cariche, incarichi, elezioni con voto e scrutinio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Atti fondativi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Statuto, Atto Costitutivo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Patrimonio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Immobili, sedi, magazzino, articoli, cespiti con ammortamento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IVA e fatturazione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Fatture attive/passive, Fattura Elettronica XML, registri, LIPE, liquidazioni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Adempimenti fiscali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Ritenute, CU, F24, compensi a terzi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Banca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RI.BA/CBI, riconciliazione bancaria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Bilancio ETS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Bilancio CEE (XBRL), Relazione di Missione, Erogazioni Liberali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Cooperativa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Capitale Sociale, Prestito Sociale, Ristorni, report specifici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Area Consulente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Accesso cross-tenant, richieste documenti, note, dashboard consulente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Anagrafica ente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Dati ente, ricerca aziende (API), RUNTS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Amministrazione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Utenti, ruoli, impostazioni tenant, audit trail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4.2 Dashboard e analytics</w:t>
      </w:r>
    </w:p>
    <w:p>
      <w:pPr>
        <w:spacing w:before="40" w:after="120"/>
      </w:pPr>
      <w:r>
        <w:t>La homepage di ogni tenant offre una dashboard con: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Grafici andamento incassi/uscite (12 mesi)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Composizione soci per tipologia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Andamento iscrizioni e cessazioni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Distribuzione delle donazioni (solo ETS)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KPI specifici per cooperative (capitale versato, prestiti, ristorni)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4.3 Export e interoperabilità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PDF</w:t>
      </w:r>
      <w:r>
        <w:rPr>
          <w:sz w:val="20"/>
        </w:rPr>
        <w:t xml:space="preserve"> — ricevute, CU, F24, Relazione di Missione, Bilancio CEE (DomPDF)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Excel (XLSX)</w:t>
      </w:r>
      <w:r>
        <w:rPr>
          <w:sz w:val="20"/>
        </w:rPr>
        <w:t xml:space="preserve"> — soci, prima nota, registri IVA, cespiti, capitale sociale, compensi terzi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XML</w:t>
      </w:r>
      <w:r>
        <w:rPr>
          <w:sz w:val="20"/>
        </w:rPr>
        <w:t xml:space="preserve"> — Fattura Elettronica (SDI FatturaPA 1.3.2), LIPE, XBRL per CCIAA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CSV</w:t>
      </w:r>
      <w:r>
        <w:rPr>
          <w:sz w:val="20"/>
        </w:rPr>
        <w:t xml:space="preserve"> — export generico di qualsiasi modulo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4.4 Ruoli e permessi</w:t>
      </w:r>
    </w:p>
    <w:p>
      <w:pPr>
        <w:spacing w:before="40" w:after="120"/>
      </w:pPr>
      <w:r>
        <w:t>Il sistema prevede ruoli differenziati per ciascun tenant: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Ruolo</w:t>
            </w:r>
          </w:p>
        </w:tc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Accesso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F2937"/>
                <w:sz w:val="19"/>
              </w:rPr>
              <w:t>admin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Accesso completo all'ente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F2937"/>
                <w:sz w:val="19"/>
              </w:rPr>
              <w:t>segreteria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Soci, documenti, organi, cassa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F2937"/>
                <w:sz w:val="19"/>
              </w:rPr>
              <w:t>contabile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Cassa, fatturazione, IVA, bilancio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F2937"/>
                <w:sz w:val="19"/>
              </w:rPr>
              <w:t>socio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La propria scheda, i propri rimborsi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F2937"/>
                <w:sz w:val="19"/>
              </w:rPr>
              <w:t>consultant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Area consulente (cross-tenant, accesso controllato)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4.5 Feature flag per modulo</w:t>
      </w:r>
    </w:p>
    <w:p>
      <w:pPr>
        <w:spacing w:before="40" w:after="120"/>
      </w:pPr>
      <w:r>
        <w:t xml:space="preserve">Ogni funzionalità è governata da un flag attivabile/disattivabile per ambiente tramite variabili </w:t>
      </w:r>
      <w:r>
        <w:rPr>
          <w:rFonts w:ascii="Courier New" w:hAnsi="Courier New"/>
          <w:color w:val="1F2937"/>
          <w:sz w:val="18"/>
        </w:rPr>
        <w:t>.env</w:t>
      </w:r>
      <w:r>
        <w:t>. Questo permette di: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Abilitare solo i moduli necessari per ogni tipo di ente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Disattivare funzionalità avanzate nei piani base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Rilasciare nuove funzionalità in modo controllato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5. Architettura e tecnologia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Stack tecnologico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Livello</w:t>
            </w:r>
          </w:p>
        </w:tc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Tecnologie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Backend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PHP 8.4+, Laravel 12, Jetstream, Fortify, Sanctum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Vue 3 (Composition API), Inertia.js 2, Vite 7, Tailwind CSS 3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MySQL 8.0 / MariaDB / SQLite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Export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DomPDF (PDF), maatwebsite/excel (XLSX), SimpleXML (XML/XBRL)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Code/Build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Docker Compose, GitHub Actions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Test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 xml:space="preserve">Pest 4, PHPUnit 12 — </w:t>
            </w:r>
            <w:r>
              <w:rPr>
                <w:b/>
                <w:sz w:val="19"/>
              </w:rPr>
              <w:t>562 test, 0 falliti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Architettura applicativa</w:t>
      </w:r>
    </w:p>
    <w:p>
      <w:pPr>
        <w:spacing w:before="40" w:after="120"/>
      </w:pPr>
      <w:r>
        <w:t xml:space="preserve">Tessera è una </w:t>
      </w:r>
      <w:r>
        <w:rPr>
          <w:b/>
        </w:rPr>
        <w:t>Single Page Application (SPA)</w:t>
      </w:r>
      <w:r>
        <w:t xml:space="preserve"> Laravel + Vue3 connessa tramite Inertia.js. Non esiste un'API separata: il backend e il frontend condividono lo stesso ciclo request/response Laravel, semplificando autenticazione, autorizzazione e gestione dati.</w:t>
      </w:r>
    </w:p>
    <w:p>
      <w:pPr>
        <w:spacing w:before="40" w:after="120"/>
      </w:pPr>
      <w:r>
        <w:t xml:space="preserve">Il multi-tenant è implementato a livello di </w:t>
      </w:r>
      <w:r>
        <w:rPr>
          <w:b/>
        </w:rPr>
        <w:t>row-level security</w:t>
      </w:r>
      <w:r>
        <w:t xml:space="preserve"> tramite il trait </w:t>
      </w:r>
      <w:r>
        <w:rPr>
          <w:rFonts w:ascii="Courier New" w:hAnsi="Courier New"/>
          <w:color w:val="1F2937"/>
          <w:sz w:val="18"/>
        </w:rPr>
        <w:t>BelongsToTenant</w:t>
      </w:r>
      <w:r>
        <w:t xml:space="preserve">: ogni query è automaticamente filtrata per </w:t>
      </w:r>
      <w:r>
        <w:rPr>
          <w:rFonts w:ascii="Courier New" w:hAnsi="Courier New"/>
          <w:color w:val="1F2937"/>
          <w:sz w:val="18"/>
        </w:rPr>
        <w:t>tenant_id</w:t>
      </w:r>
      <w:r>
        <w:t>, rendendo impossibile la contaminazione tra dati di enti diversi.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6. Sicurezza e conformità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Autenticazione</w:t>
      </w:r>
      <w:r>
        <w:rPr>
          <w:sz w:val="20"/>
        </w:rPr>
        <w:t xml:space="preserve"> — Laravel Jetstream + Fortify, con supporto opzionale 2FA (TOTP)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Autorizzazione</w:t>
      </w:r>
      <w:r>
        <w:rPr>
          <w:sz w:val="20"/>
        </w:rPr>
        <w:t xml:space="preserve"> — Model Policies granulari per ogni modulo; </w:t>
      </w:r>
      <w:r>
        <w:rPr>
          <w:rFonts w:ascii="Courier New" w:hAnsi="Courier New"/>
          <w:color w:val="1F2937"/>
          <w:sz w:val="20"/>
        </w:rPr>
        <w:t>Gate::before</w:t>
      </w:r>
      <w:r>
        <w:rPr>
          <w:sz w:val="20"/>
        </w:rPr>
        <w:t xml:space="preserve"> per bypass admin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Isolamento dati</w:t>
      </w:r>
      <w:r>
        <w:rPr>
          <w:sz w:val="20"/>
        </w:rPr>
        <w:t xml:space="preserve"> — Row-level security multi-tenant, nessun dato di un ente accessibile da un altro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Audit trail</w:t>
      </w:r>
      <w:r>
        <w:rPr>
          <w:sz w:val="20"/>
        </w:rPr>
        <w:t xml:space="preserve"> — log immutabile di ogni operazione (chi, cosa, quando, da quale IP)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CSRF/CORS</w:t>
      </w:r>
      <w:r>
        <w:rPr>
          <w:sz w:val="20"/>
        </w:rPr>
        <w:t xml:space="preserve"> — protezione nativa Laravel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Crittografia</w:t>
      </w:r>
      <w:r>
        <w:rPr>
          <w:sz w:val="20"/>
        </w:rPr>
        <w:t xml:space="preserve"> — chiavi applicazione, password hashing Bcrypt, dati sensibili crittografati a riposo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GDPR</w:t>
      </w:r>
      <w:r>
        <w:rPr>
          <w:sz w:val="20"/>
        </w:rPr>
        <w:t xml:space="preserve"> — gestione consensi, export dati socio, diritto all'oblio implementabile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7. Il modello SaaS multi-tenant</w:t>
      </w:r>
    </w:p>
    <w:p>
      <w:pPr>
        <w:spacing w:before="40" w:after="120"/>
      </w:pPr>
      <w:r>
        <w:t xml:space="preserve">Tessera è progettato per essere </w:t>
      </w:r>
      <w:r>
        <w:rPr>
          <w:b/>
        </w:rPr>
        <w:t>ospitato centralmente</w:t>
      </w:r>
      <w:r>
        <w:t xml:space="preserve"> e servire più organizzazioni simultaneamente (multi-tenant), oppure installato in modalità </w:t>
      </w:r>
      <w:r>
        <w:rPr>
          <w:b/>
        </w:rPr>
        <w:t>single-tenant</w:t>
      </w:r>
      <w:r>
        <w:t xml:space="preserve"> on-premise per una singola realtà.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Isolamento tra tenant</w:t>
      </w:r>
    </w:p>
    <w:p>
      <w:pPr>
        <w:spacing w:before="40" w:after="120"/>
      </w:pPr>
      <w:r>
        <w:t>Ogni organizzazione (tenant) è completamente separata dalle altre: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 xml:space="preserve">Database condiviso con filtro automatico per </w:t>
      </w:r>
      <w:r>
        <w:rPr>
          <w:rFonts w:ascii="Courier New" w:hAnsi="Courier New"/>
          <w:color w:val="1F2937"/>
          <w:sz w:val="20"/>
        </w:rPr>
        <w:t>tenant_id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Storage file separato per percorso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Configurazioni e feature flag indipendenti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Utenti possono appartenere a più tenant con ruoli diversi in ciascuno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Gestione accessi</w:t>
      </w:r>
    </w:p>
    <w:p>
      <w:pPr>
        <w:spacing w:before="40" w:after="120"/>
      </w:pPr>
      <w:r>
        <w:t>Un utente può essere: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Admin di un ETS</w:t>
      </w:r>
      <w:r>
        <w:rPr>
          <w:sz w:val="20"/>
        </w:rPr>
        <w:t xml:space="preserve"> (ruolo pieno nel proprio ente)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Membro/socio</w:t>
      </w:r>
      <w:r>
        <w:rPr>
          <w:sz w:val="20"/>
        </w:rPr>
        <w:t xml:space="preserve"> (accesso alla propria scheda)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Consulente esterno</w:t>
      </w:r>
      <w:r>
        <w:rPr>
          <w:sz w:val="20"/>
        </w:rPr>
        <w:t xml:space="preserve"> (accesso in sola lettura o controllato a più enti)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Operatore SaaS</w:t>
      </w:r>
      <w:r>
        <w:rPr>
          <w:sz w:val="20"/>
        </w:rPr>
        <w:t xml:space="preserve"> (accesso amministrativo alla piattaforma, via pannello admin separato)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8. L'area consulente — collaborazione con il commercialista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La filosofia</w:t>
      </w:r>
    </w:p>
    <w:p>
      <w:pPr>
        <w:spacing w:before="40" w:after="120"/>
      </w:pPr>
      <w:r>
        <w:t xml:space="preserve">Tessera </w:t>
      </w:r>
      <w:r>
        <w:rPr>
          <w:b/>
        </w:rPr>
        <w:t>non sostituisce</w:t>
      </w:r>
      <w:r>
        <w:t xml:space="preserve"> il software contabile del commercialista (TeamSystem, Zucchetti, Profis, OmniaWeb, ecc.). Lo </w:t>
      </w:r>
      <w:r>
        <w:rPr>
          <w:b/>
        </w:rPr>
        <w:t>alimenta con i dati corretti</w:t>
      </w:r>
      <w:r>
        <w:t>.</w:t>
      </w:r>
    </w:p>
    <w:p>
      <w:pPr>
        <w:spacing w:before="40" w:after="120"/>
      </w:pPr>
      <w:r>
        <w:t>L'ente gestisce la propria operatività quotidiana sulla piattaforma. Il commercialista — già modellato come "consulente esterno" con accesso cross-tenant — preleva i dati nei formati che gli servono per chiudere i suoi adempimenti.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Cosa è già implementato</w:t>
      </w:r>
    </w:p>
    <w:p>
      <w:pPr>
        <w:spacing w:before="40" w:after="120"/>
      </w:pPr>
      <w:r>
        <w:t xml:space="preserve">L'infrastruttura cross-tenant per il consulente è </w:t>
      </w:r>
      <w:r>
        <w:rPr>
          <w:b/>
        </w:rPr>
        <w:t>già operativa</w:t>
      </w:r>
      <w:r>
        <w:t>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`ConsultantAssignment`</w:t>
      </w:r>
      <w:r>
        <w:rPr>
          <w:sz w:val="20"/>
        </w:rPr>
        <w:t xml:space="preserve"> — assegnazione consulente ↔ ente (N:M, senza isolamento tenant)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`ConsultantRequest`</w:t>
      </w:r>
      <w:r>
        <w:rPr>
          <w:sz w:val="20"/>
        </w:rPr>
        <w:t xml:space="preserve"> — richieste documenti/informazioni dal commercialista all'ente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`ConsultantNote`</w:t>
      </w:r>
      <w:r>
        <w:rPr>
          <w:sz w:val="20"/>
        </w:rPr>
        <w:t xml:space="preserve"> — note del commercialista su un ente, visibili solo a lui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Dashboard consulente</w:t>
      </w:r>
      <w:r>
        <w:rPr>
          <w:sz w:val="20"/>
        </w:rPr>
        <w:t xml:space="preserve"> (</w:t>
      </w:r>
      <w:r>
        <w:rPr>
          <w:rFonts w:ascii="Courier New" w:hAnsi="Courier New"/>
          <w:color w:val="1F2937"/>
          <w:sz w:val="20"/>
        </w:rPr>
        <w:t>/consultant/dashboard</w:t>
      </w:r>
      <w:r>
        <w:rPr>
          <w:sz w:val="20"/>
        </w:rPr>
        <w:t>) — lista degli enti seguiti, stato richieste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Accesso cross-tenant</w:t>
      </w:r>
      <w:r>
        <w:rPr>
          <w:sz w:val="20"/>
        </w:rPr>
        <w:t xml:space="preserve"> — il consulente entra nell'ente e vede i dati con i ruoli appropriati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Banner visivo</w:t>
      </w:r>
      <w:r>
        <w:rPr>
          <w:sz w:val="20"/>
        </w:rPr>
        <w:t xml:space="preserve"> — quando il consulente è nell'area di un ente, vede un banner "Modalità consulente"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Il flusso operativo attuale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Commercialista</w:t>
        <w:br/>
        <w:t xml:space="preserve">  └─ Accede alla propria dashboard consulente</w:t>
        <w:br/>
        <w:t xml:space="preserve">  └─ Seleziona un ente tra quelli che segue</w:t>
        <w:br/>
        <w:t xml:space="preserve">  └─ Entra nell'area dell'ente (con accesso controllato)</w:t>
        <w:br/>
        <w:t xml:space="preserve">  └─ Consulta i dati operativi (fatture, cassa, soci, adempimenti)</w:t>
        <w:br/>
        <w:t xml:space="preserve">  └─ Crea richieste di documenti verso l'ente</w:t>
        <w:br/>
        <w:t xml:space="preserve">  └─ Lascia note per uso interno</w:t>
        <w:br/>
        <w:t xml:space="preserve">  └─ Torna alla propria dashboard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9. Cosa Tessera NON è</w:t>
      </w:r>
    </w:p>
    <w:p>
      <w:pPr>
        <w:spacing w:before="40" w:after="120"/>
      </w:pPr>
      <w:r>
        <w:t>Per chiarire il posizionamento del prodotto: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Non è</w:t>
            </w:r>
          </w:p>
        </w:tc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Perché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Un software di </w:t>
            </w:r>
            <w:r>
              <w:rPr>
                <w:b/>
                <w:sz w:val="19"/>
              </w:rPr>
              <w:t>contabilità in partita doppia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La contabilità ufficiale resta nel gestionale del commercialista. Il codice esiste ma è disabilitato di default.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 xml:space="preserve">Un gestionale </w:t>
            </w:r>
            <w:r>
              <w:rPr>
                <w:b/>
                <w:sz w:val="19"/>
              </w:rPr>
              <w:t>paghe e stipendi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Payroll e cedolini sono fuori scope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Un sostituto del </w:t>
            </w:r>
            <w:r>
              <w:rPr>
                <w:b/>
                <w:sz w:val="19"/>
              </w:rPr>
              <w:t>software dell'Agenzia delle Entrate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I dichiarativi (Modello EAS, 770, Unico ETS) si compilano con i software specifici, alimentati dai dati di Tessera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 xml:space="preserve">Un portale di </w:t>
            </w:r>
            <w:r>
              <w:rPr>
                <w:b/>
                <w:sz w:val="19"/>
              </w:rPr>
              <w:t>e-commerce o vendite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Non gestisce cataloghi prodotti, carrelli o pagamenti online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Un </w:t>
            </w:r>
            <w:r>
              <w:rPr>
                <w:b/>
                <w:sz w:val="19"/>
              </w:rPr>
              <w:t>CRM</w:t>
            </w:r>
            <w:r>
              <w:rPr>
                <w:sz w:val="19"/>
              </w:rPr>
              <w:t xml:space="preserve"> generico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Le anagrafiche sono verticali per il Terzo Settore, non per uso commerciale</w:t>
            </w:r>
          </w:p>
        </w:tc>
      </w:tr>
    </w:tbl>
    <w:p/>
    <w:p>
      <w:pPr>
        <w:spacing w:before="40" w:after="120"/>
      </w:pPr>
      <w:r>
        <w:t xml:space="preserve">Le funzionalità di contabilità (prima nota, piano dei conti, esercizi, ratei) sono </w:t>
      </w:r>
      <w:r>
        <w:rPr>
          <w:b/>
        </w:rPr>
        <w:t>presenti nel codice e attivabili</w:t>
      </w:r>
      <w:r>
        <w:t xml:space="preserve"> tramite feature flag, ma non sono esposte di default nell'interfaccia. Questo permette a realtà che vogliono gestire la propria contabilità internamente di attivarle, senza impattare la semplicità d'uso per la maggior parte degli utenti.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10. Sviluppi futuri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Fase 2 — Cruscotto dati per il commercialista `(~3 giorni sviluppo)`</w:t>
      </w:r>
    </w:p>
    <w:p>
      <w:pPr>
        <w:spacing w:before="40" w:after="120"/>
      </w:pPr>
      <w:r>
        <w:t>Obiettivo: dare al consulente una vista d'insieme dell'attività operativa di ciascun ente per periodo selezionabile (mese/trimestre/anno).</w:t>
      </w:r>
    </w:p>
    <w:p>
      <w:pPr>
        <w:spacing w:before="40" w:after="120"/>
      </w:pPr>
      <w:r>
        <w:rPr>
          <w:b/>
        </w:rPr>
        <w:t>Contenuto previsto: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KPI aggregati: fatture emesse/ricevute, totale IVA, donazioni, spese, movimenti bancari riconciliati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Grafici trend mensili con drill-down per area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Stato Bilancio (bozza/approvato) e stato Capitale Sociale (per coop)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Quick link a ogni area per navigazione diretta</w:t>
      </w:r>
    </w:p>
    <w:p>
      <w:pPr>
        <w:spacing w:before="40" w:after="120"/>
      </w:pPr>
      <w:r>
        <w:rPr>
          <w:b/>
        </w:rPr>
        <w:t>Tecnologia:</w:t>
      </w:r>
      <w:r>
        <w:t xml:space="preserve"> Service </w:t>
      </w:r>
      <w:r>
        <w:rPr>
          <w:rFonts w:ascii="Courier New" w:hAnsi="Courier New"/>
          <w:color w:val="1F2937"/>
          <w:sz w:val="18"/>
        </w:rPr>
        <w:t>ConsultantStatsService</w:t>
      </w:r>
      <w:r>
        <w:t xml:space="preserve"> con caching Redis, chart.js già integrato nello stack.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Fase 3 — Export strutturati per software contabili `(~4 giorni sviluppo)`</w:t>
      </w:r>
    </w:p>
    <w:p>
      <w:pPr>
        <w:spacing w:before="40" w:after="120"/>
      </w:pPr>
      <w:r>
        <w:t>Obiettivo: consentire al commercialista di generare, con un click, un bundle dati completo per il proprio software contabile.</w:t>
      </w:r>
    </w:p>
    <w:p>
      <w:pPr>
        <w:spacing w:before="40" w:after="120"/>
      </w:pPr>
      <w:r>
        <w:rPr>
          <w:b/>
        </w:rPr>
        <w:t>Formati previsti: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CSV generico (tutte le tabelle, una per file, in archivio ZIP)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XML Agenzia delle Entrate (registri IVA, LIPE) — già parzialmente presente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TeamSystem CSV (formato specifico per import)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Zucchetti CSV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Profis XML</w:t>
      </w:r>
    </w:p>
    <w:p>
      <w:pPr>
        <w:spacing w:before="40" w:after="120"/>
      </w:pPr>
      <w:r>
        <w:rPr>
          <w:b/>
        </w:rPr>
        <w:t>Dati esportabili:</w:t>
      </w:r>
      <w:r>
        <w:t xml:space="preserve"> fatture attive/passive, ricevute, donazioni, spese, compensi a terzi, F24, movimenti bancari, anagrafiche fornitori/clienti, cespiti.</w:t>
      </w:r>
    </w:p>
    <w:p>
      <w:pPr>
        <w:spacing w:before="40" w:after="120"/>
      </w:pPr>
      <w:r>
        <w:rPr>
          <w:b/>
        </w:rPr>
        <w:t>Architettura:</w:t>
      </w:r>
      <w:r>
        <w:t xml:space="preserve"> </w:t>
      </w:r>
      <w:r>
        <w:rPr>
          <w:rFonts w:ascii="Courier New" w:hAnsi="Courier New"/>
          <w:color w:val="1F2937"/>
          <w:sz w:val="18"/>
        </w:rPr>
        <w:t>ExportBundleService</w:t>
      </w:r>
      <w:r>
        <w:t xml:space="preserve"> con pattern Strategy per formato, </w:t>
      </w:r>
      <w:r>
        <w:rPr>
          <w:rFonts w:ascii="Courier New" w:hAnsi="Courier New"/>
          <w:color w:val="1F2937"/>
          <w:sz w:val="18"/>
        </w:rPr>
        <w:t>GenerateExportBundleJob</w:t>
      </w:r>
      <w:r>
        <w:t xml:space="preserve"> in coda con notifica al consulente al completamento. Storage privato con URL firmati e scadenza a 30 giorni.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Fase 4 — Scambio bidirezionale e checklist adempimenti `(~5 giorni sviluppo)`</w:t>
      </w:r>
    </w:p>
    <w:p>
      <w:pPr>
        <w:spacing w:before="40" w:after="120"/>
      </w:pPr>
      <w:r>
        <w:t>Obiettivo: chiudere il loop comunicativo tra ente e commercialista, eliminare email e fogli Excel con le scadenze.</w:t>
      </w:r>
    </w:p>
    <w:p>
      <w:pPr>
        <w:spacing w:before="40" w:after="120"/>
      </w:pPr>
      <w:r>
        <w:rPr>
          <w:b/>
        </w:rPr>
        <w:t>4a. Scambio file: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L'ente risponde alle richieste del consulente allegando documenti direttamente sulla piattaforma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Il consulente carica per l'ente documenti prodotti (es. F24 da pagare, bilancio firmato, CU elaborate)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Notifiche email e in-app a entrambi i lati</w:t>
      </w:r>
    </w:p>
    <w:p>
      <w:pPr>
        <w:spacing w:before="40" w:after="120"/>
      </w:pPr>
      <w:r>
        <w:rPr>
          <w:b/>
        </w:rPr>
        <w:t>4b. Checklist adempimenti per periodo: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Template predefiniti per le scadenze ricorrenti: IVA trimestrale, LIPE, CU, 770, Bilancio annuale, Modello EAS, ecc.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Stato per ciascun item: da fare / in lavorazione / consegnato / completato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Vista commercialista: compliance overview di tutti gli enti per periodo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Vista ente: checklist propria con azioni collegate</w:t>
      </w:r>
    </w:p>
    <w:p>
      <w:pPr>
        <w:spacing w:before="40" w:after="120"/>
      </w:pPr>
      <w:r>
        <w:rPr>
          <w:b/>
        </w:rPr>
        <w:t>4c. Calendario consegne: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Vista mensile delle scadenze derivate automaticamente da tipologia ente e regime fiscale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sz w:val="20"/>
        </w:rPr>
        <w:t>Notifiche anticipate (T-7, T-1, scaduto) via email e in-app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Versione 1.2.0 — Q3/Q4 2026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Portale Soci</w:t>
      </w:r>
      <w:r>
        <w:rPr>
          <w:sz w:val="20"/>
        </w:rPr>
        <w:t xml:space="preserve"> — self-service per soci: visualizzazione quota, tessera, rimborsi, bilancio pubblicato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API Pubblica</w:t>
      </w:r>
      <w:r>
        <w:rPr>
          <w:sz w:val="20"/>
        </w:rPr>
        <w:t xml:space="preserve"> — REST API documentata (OpenAPI) per integrazioni con altri sistemi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Business Intelligence avanzata</w:t>
      </w:r>
      <w:r>
        <w:rPr>
          <w:sz w:val="20"/>
        </w:rPr>
        <w:t xml:space="preserve"> — KPI comparativi multi-periodo, benchmark per tipologia ente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Magazzino avanzato</w:t>
      </w:r>
      <w:r>
        <w:rPr>
          <w:sz w:val="20"/>
        </w:rPr>
        <w:t xml:space="preserve"> — distinte base, lotti, listini, sconti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RI.BA avanzato</w:t>
      </w:r>
      <w:r>
        <w:rPr>
          <w:sz w:val="20"/>
        </w:rPr>
        <w:t xml:space="preserve"> — gestione effetti, scadenzario ricevute bancarie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Versione 2.0.0 — Futuro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App Mobile</w:t>
      </w:r>
      <w:r>
        <w:rPr>
          <w:sz w:val="20"/>
        </w:rPr>
        <w:t xml:space="preserve"> — iOS/Android per soci (gestione tessera, eventi, comunicazioni)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Open Banking</w:t>
      </w:r>
      <w:r>
        <w:rPr>
          <w:sz w:val="20"/>
        </w:rPr>
        <w:t xml:space="preserve"> — collegamento diretto con i conti correnti per riconciliazione automatica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Firma digitale</w:t>
      </w:r>
      <w:r>
        <w:rPr>
          <w:sz w:val="20"/>
        </w:rPr>
        <w:t xml:space="preserve"> — E-signing di documenti e verbali all'interno della piattaforma</w:t>
      </w:r>
    </w:p>
    <w:p>
      <w:pPr>
        <w:pStyle w:val="ListBullet"/>
        <w:spacing w:before="20" w:after="20"/>
        <w:ind w:left="283" w:hanging="170"/>
      </w:pPr>
      <w:r>
        <w:rPr>
          <w:color w:val="1D4ED8"/>
          <w:sz w:val="20"/>
        </w:rPr>
        <w:t xml:space="preserve">•  </w:t>
      </w:r>
      <w:r>
        <w:rPr>
          <w:b/>
          <w:sz w:val="20"/>
        </w:rPr>
        <w:t>Marketplace</w:t>
      </w:r>
      <w:r>
        <w:rPr>
          <w:sz w:val="20"/>
        </w:rPr>
        <w:t xml:space="preserve"> — template, report personalizzati, estensioni per verticali specifici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11. Informazioni tecniche per l'installazione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Requisiti minimi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Versione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PHP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8.4+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MySQL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8.0+ (o MariaDB 10.6+)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Node.js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18+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Composer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2.x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Web server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Apache / Nginx / Sail / Docker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Installazione rapida (Docker)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F2937"/>
          <w:sz w:val="17"/>
        </w:rPr>
        <w:t>git clone https://github.com/mariomicrotel/tessera.git</w:t>
        <w:br/>
        <w:t>cd tessera</w:t>
        <w:br/>
        <w:t>docker compose up -d</w:t>
        <w:br/>
        <w:t>docker compose exec app php artisan migrate --seed</w:t>
        <w:br/>
        <w:t>docker compose exec app npm run build</w:t>
      </w:r>
    </w:p>
    <w:p>
      <w:pPr>
        <w:spacing w:before="40" w:after="120"/>
      </w:pPr>
      <w:r>
        <w:t xml:space="preserve">Disponibile su: </w:t>
      </w:r>
      <w:r>
        <w:rPr>
          <w:rFonts w:ascii="Courier New" w:hAnsi="Courier New"/>
          <w:color w:val="1F2937"/>
          <w:sz w:val="18"/>
        </w:rPr>
        <w:t>http://localhost:8090</w:t>
      </w:r>
    </w:p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Credenziali demo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351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351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Ruolo</w:t>
            </w:r>
          </w:p>
        </w:tc>
        <w:tc>
          <w:tcPr>
            <w:tcW w:type="dxa" w:w="2351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Tipo ente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F2937"/>
                <w:sz w:val="19"/>
              </w:rPr>
              <w:t>test@example.com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F2937"/>
                <w:sz w:val="19"/>
              </w:rPr>
              <w:t>password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admin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ETS (Associazione)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F2937"/>
                <w:sz w:val="19"/>
              </w:rPr>
              <w:t>coop-admin@example.com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F2937"/>
                <w:sz w:val="19"/>
              </w:rPr>
              <w:t>password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admin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Cooperativa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color w:val="2563EB"/>
          <w:sz w:val="24"/>
        </w:rPr>
        <w:t>Repository</w:t>
      </w:r>
    </w:p>
    <w:p>
      <w:pPr>
        <w:spacing w:before="40" w:after="120"/>
      </w:pPr>
      <w:r>
        <w:rPr>
          <w:color w:val="1D4ED8"/>
        </w:rPr>
        <w:t>github.com/mariomicrotel/tessera</w:t>
      </w:r>
    </w:p>
    <w:p>
      <w:pPr>
        <w:spacing w:before="40" w:after="120"/>
      </w:pPr>
      <w:r>
        <w:rPr>
          <w:b/>
        </w:rPr>
        <w:t>Licenza:</w:t>
      </w:r>
      <w:r>
        <w:t xml:space="preserve"> GNU GPL v3</w:t>
      </w:r>
    </w:p>
    <w:p>
      <w:pPr>
        <w:pBdr>
          <w:bottom w:val="single" w:sz="6" w:space="1" w:color="BFDBFE"/>
        </w:pBd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1D4ED8"/>
          <w:sz w:val="28"/>
        </w:rPr>
        <w:t>Riepilogo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Aspetto</w:t>
            </w:r>
          </w:p>
        </w:tc>
        <w:tc>
          <w:tcPr>
            <w:tcW w:type="dxa" w:w="4703"/>
            <w:shd w:val="clear" w:color="auto"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SaaS multi-tenant, installabile anche on-premise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primario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ETS italiani e Cooperative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secondario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Commercialisti e consulenti del lavoro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Versione attuale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1.1.0 (Maggio 2026)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Test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562 test, 0 falliti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Licenza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GNU GPL v3 — open source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Stack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PHP 8.4 / Laravel 12 / Vue 3 / MySQL 8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19"/>
              </w:rPr>
              <w:t>Maturità</w:t>
            </w:r>
          </w:p>
        </w:tc>
        <w:tc>
          <w:tcPr>
            <w:tcW w:type="dxa" w:w="4703"/>
            <w:shd w:val="clear" w:color="auto" w:fill="EFF6FF"/>
          </w:tcPr>
          <w:p>
            <w:pPr>
              <w:spacing w:before="40" w:after="40"/>
            </w:pPr>
            <w:r>
              <w:rPr>
                <w:sz w:val="19"/>
              </w:rPr>
              <w:t>Production-ready</w:t>
            </w:r>
          </w:p>
        </w:tc>
      </w:tr>
    </w:tbl>
    <w:p/>
    <w:p>
      <w:pPr>
        <w:pBdr>
          <w:bottom w:val="single" w:sz="6" w:space="1" w:color="BFDBFE"/>
        </w:pBdr>
        <w:spacing w:before="0" w:after="80"/>
      </w:pPr>
    </w:p>
    <w:p>
      <w:pPr>
        <w:spacing w:before="40" w:after="120"/>
      </w:pPr>
      <w:r>
        <w:rPr>
          <w:i/>
        </w:rPr>
        <w:t>Documento redatto con Claude · 2026-05-25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0" w:lineRule="exact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