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Preventivo Rossi Srl</w:t>
      </w:r>
    </w:p>
    <w:p>
      <w:r>
        <w:t>Fornitura di 120 sedie ergonomiche, consegna entro il 30 novembre.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Articolo</w:t>
            </w:r>
          </w:p>
        </w:tc>
        <w:tc>
          <w:tcPr>
            <w:tcW w:type="dxa" w:w="4320"/>
          </w:tcPr>
          <w:p>
            <w:r>
              <w:t>Prezzo</w:t>
            </w:r>
          </w:p>
        </w:tc>
      </w:tr>
      <w:tr>
        <w:tc>
          <w:tcPr>
            <w:tcW w:type="dxa" w:w="4320"/>
          </w:tcPr>
          <w:p>
            <w:r>
              <w:t>Sedia Comfort</w:t>
            </w:r>
          </w:p>
        </w:tc>
        <w:tc>
          <w:tcPr>
            <w:tcW w:type="dxa" w:w="4320"/>
          </w:tcPr>
          <w:p>
            <w:r>
              <w:t>89,00 €</w:t>
            </w:r>
          </w:p>
        </w:tc>
      </w:tr>
    </w:tbl>
    <w:p>
      <w:r>
        <w:t>Pagamento a 30 giorni. Perché è così caro? Città, attività, più.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