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b0b0b"/>
          <w:sz w:val="32"/>
          <w:szCs w:val="32"/>
        </w:rPr>
        <w:t xml:space="preserve">Entrega LAB03 — Ensambles, reducción dimensional y Green AI</w:t>
      </w:r>
    </w:p>
    <w:p>
      <w:pPr>
        <w:spacing w:after="200"/>
      </w:pPr>
      <w:r>
        <w:rPr>
          <w:color w:val="52514e"/>
          <w:sz w:val="20"/>
          <w:szCs w:val="20"/>
        </w:rPr>
        <w:t xml:space="preserve">INF-8239 · Ciencia de Datos II — Universidad Autónoma de Santo Domingo (UASD)</w:t>
      </w:r>
    </w:p>
    <w:p>
      <w:pPr>
        <w:spacing w:after="260" w:before="0"/>
        <w:jc w:val="left"/>
      </w:pPr>
      <w:r>
        <w:rPr>
          <w:b/>
          <w:bCs/>
          <w:color w:val="0b0b0b"/>
          <w:sz w:val="19"/>
          <w:szCs w:val="19"/>
        </w:rPr>
        <w:t xml:space="preserve">Repositorio: </w:t>
      </w:r>
      <w:hyperlink w:history="1" r:id="rId6kklqjktoasuuowgf5v14">
        <w:r>
          <w:rPr>
            <w:color w:val="2a78d6"/>
            <w:sz w:val="19"/>
            <w:szCs w:val="19"/>
            <w:u w:val="single"/>
          </w:rPr>
          <w:t xml:space="preserve">https://github.com/marionathanaelfelizlara-gif/INF8239_U01</w:t>
        </w:r>
      </w:hyperlink>
      <w:r>
        <w:rPr>
          <w:color w:val="0b0b0b"/>
          <w:sz w:val="19"/>
          <w:szCs w:val="19"/>
        </w:rPr>
        <w:t xml:space="preserve"> (contiene notebooks, src, tests, reports, requirements.txt y README.md; este LAB03 se integra en el mismo repositorio que el LAB01 y el LAB02).</w:t>
      </w:r>
    </w:p>
    <w:p>
      <w:pPr>
        <w:pStyle w:val="Heading2"/>
        <w:spacing w:after="140" w:before="280"/>
      </w:pPr>
      <w:r>
        <w:rPr>
          <w:b/>
          <w:bCs/>
          <w:color w:val="0b0b0b"/>
        </w:rPr>
        <w:t xml:space="preserve">Dataset, target y protocolo (congelados del LAB02)</w:t>
      </w:r>
    </w:p>
    <w:p>
      <w:pPr>
        <w:spacing w:after="160" w:before="0"/>
        <w:jc w:val="both"/>
      </w:pPr>
      <w:r>
        <w:rPr>
          <w:b w:val="false"/>
          <w:bCs w:val="false"/>
          <w:i w:val="false"/>
          <w:iCs w:val="false"/>
          <w:color w:val="0b0b0b"/>
          <w:sz w:val="19"/>
          <w:szCs w:val="19"/>
        </w:rPr>
        <w:t xml:space="preserve">Estadísticas de Robos de Automotores, Armas de Fuego y Denuncias de Robo (2018–2025). Fuente: Ministerio de Interior y Policía (MIP), República Dominicana, vía datos.gob.do, licencia ODbL. 6,516 filas × 6 columnas. Target: categoria_robo (3 clases: Automotor, Armas de Fuego, General). Columna excluida: tipo_detalle (fuga de información). Partición: 80/20 estratificada, random_state=42 — idéntica a la del LAB02, sin modificaciones. Métrica principal: F1-macro. Clase prioritaria (error más costoso, heredada del LAB02): Armas de Fuego. Estado de aprobación docente del dataset documentado en docs/ficha_dataset.md del repositorio.</w:t>
      </w:r>
    </w:p>
    <w:p>
      <w:pPr>
        <w:pStyle w:val="Heading2"/>
        <w:spacing w:after="140" w:before="280"/>
      </w:pPr>
      <w:r>
        <w:rPr>
          <w:b/>
          <w:bCs/>
          <w:color w:val="0b0b0b"/>
        </w:rPr>
        <w:t xml:space="preserve">Tabla principal de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700"/>
        <w:gridCol w:w="1500"/>
        <w:gridCol w:w="1500"/>
        <w:gridCol w:w="760"/>
      </w:tblGrid>
      <w:tr>
        <w:trPr>
          <w:tblHeader/>
        </w:trPr>
        <w:tc>
          <w:tcPr>
            <w:tcW w:type="dxa" w:w="2600"/>
            <w:shd w:fill="2a78d6" w:color="auto" w:val="clear"/>
            <w:tcMar>
              <w:top w:type="dxa" w:w="90"/>
              <w:left w:type="dxa" w:w="110"/>
              <w:bottom w:type="dxa" w:w="90"/>
              <w:right w:type="dxa" w:w="110"/>
            </w:tcMar>
            <w:vAlign w:val="center"/>
          </w:tcPr>
          <w:p>
            <w:r>
              <w:rPr>
                <w:b/>
                <w:bCs/>
                <w:color w:val="ffffff"/>
                <w:sz w:val="17"/>
                <w:szCs w:val="17"/>
              </w:rPr>
              <w:t xml:space="preserve">Modelo</w:t>
            </w:r>
          </w:p>
        </w:tc>
        <w:tc>
          <w:tcPr>
            <w:tcW w:type="dxa" w:w="1300"/>
            <w:shd w:fill="2a78d6" w:color="auto" w:val="clear"/>
            <w:tcMar>
              <w:top w:type="dxa" w:w="90"/>
              <w:left w:type="dxa" w:w="110"/>
              <w:bottom w:type="dxa" w:w="90"/>
              <w:right w:type="dxa" w:w="110"/>
            </w:tcMar>
            <w:vAlign w:val="center"/>
          </w:tcPr>
          <w:p>
            <w:r>
              <w:rPr>
                <w:b/>
                <w:bCs/>
                <w:color w:val="ffffff"/>
                <w:sz w:val="17"/>
                <w:szCs w:val="17"/>
              </w:rPr>
              <w:t xml:space="preserve">F1-macro</w:t>
            </w:r>
          </w:p>
        </w:tc>
        <w:tc>
          <w:tcPr>
            <w:tcW w:type="dxa" w:w="1700"/>
            <w:shd w:fill="2a78d6" w:color="auto" w:val="clear"/>
            <w:tcMar>
              <w:top w:type="dxa" w:w="90"/>
              <w:left w:type="dxa" w:w="110"/>
              <w:bottom w:type="dxa" w:w="90"/>
              <w:right w:type="dxa" w:w="110"/>
            </w:tcMar>
            <w:vAlign w:val="center"/>
          </w:tcPr>
          <w:p>
            <w:r>
              <w:rPr>
                <w:b/>
                <w:bCs/>
                <w:color w:val="ffffff"/>
                <w:sz w:val="17"/>
                <w:szCs w:val="17"/>
              </w:rPr>
              <w:t xml:space="preserve">Entren. (s)</w:t>
            </w:r>
          </w:p>
        </w:tc>
        <w:tc>
          <w:tcPr>
            <w:tcW w:type="dxa" w:w="1500"/>
            <w:shd w:fill="2a78d6" w:color="auto" w:val="clear"/>
            <w:tcMar>
              <w:top w:type="dxa" w:w="90"/>
              <w:left w:type="dxa" w:w="110"/>
              <w:bottom w:type="dxa" w:w="90"/>
              <w:right w:type="dxa" w:w="110"/>
            </w:tcMar>
            <w:vAlign w:val="center"/>
          </w:tcPr>
          <w:p>
            <w:r>
              <w:rPr>
                <w:b/>
                <w:bCs/>
                <w:color w:val="ffffff"/>
                <w:sz w:val="17"/>
                <w:szCs w:val="17"/>
              </w:rPr>
              <w:t xml:space="preserve">Predicción (ms)</w:t>
            </w:r>
          </w:p>
        </w:tc>
        <w:tc>
          <w:tcPr>
            <w:tcW w:type="dxa" w:w="1500"/>
            <w:shd w:fill="2a78d6" w:color="auto" w:val="clear"/>
            <w:tcMar>
              <w:top w:type="dxa" w:w="90"/>
              <w:left w:type="dxa" w:w="110"/>
              <w:bottom w:type="dxa" w:w="90"/>
              <w:right w:type="dxa" w:w="110"/>
            </w:tcMar>
            <w:vAlign w:val="center"/>
          </w:tcPr>
          <w:p>
            <w:r>
              <w:rPr>
                <w:b/>
                <w:bCs/>
                <w:color w:val="ffffff"/>
                <w:sz w:val="17"/>
                <w:szCs w:val="17"/>
              </w:rPr>
              <w:t xml:space="preserve">Tamaño (KB)</w:t>
            </w:r>
          </w:p>
        </w:tc>
        <w:tc>
          <w:tcPr>
            <w:tcW w:type="dxa" w:w="760"/>
            <w:shd w:fill="2a78d6" w:color="auto" w:val="clear"/>
            <w:tcMar>
              <w:top w:type="dxa" w:w="90"/>
              <w:left w:type="dxa" w:w="110"/>
              <w:bottom w:type="dxa" w:w="90"/>
              <w:right w:type="dxa" w:w="110"/>
            </w:tcMar>
            <w:vAlign w:val="center"/>
          </w:tcPr>
          <w:p>
            <w:r>
              <w:rPr>
                <w:b/>
                <w:bCs/>
                <w:color w:val="ffffff"/>
                <w:sz w:val="17"/>
                <w:szCs w:val="17"/>
              </w:rPr>
              <w:t xml:space="preserve">Pareto</w:t>
            </w:r>
          </w:p>
        </w:tc>
      </w:tr>
      <w:tr>
        <w:tc>
          <w:tcPr>
            <w:tcW w:type="dxa" w:w="2600"/>
            <w:tcMar>
              <w:top w:type="dxa" w:w="90"/>
              <w:left w:type="dxa" w:w="110"/>
              <w:bottom w:type="dxa" w:w="90"/>
              <w:right w:type="dxa" w:w="110"/>
            </w:tcMar>
            <w:vAlign w:val="center"/>
          </w:tcPr>
          <w:p>
            <w:r>
              <w:rPr>
                <w:b w:val="false"/>
                <w:bCs w:val="false"/>
                <w:color w:val="0b0b0b"/>
                <w:sz w:val="17"/>
                <w:szCs w:val="17"/>
              </w:rPr>
              <w:t xml:space="preserve">HistGradientBoosting</w:t>
            </w:r>
          </w:p>
        </w:tc>
        <w:tc>
          <w:tcPr>
            <w:tcW w:type="dxa" w:w="1300"/>
            <w:tcMar>
              <w:top w:type="dxa" w:w="90"/>
              <w:left w:type="dxa" w:w="110"/>
              <w:bottom w:type="dxa" w:w="90"/>
              <w:right w:type="dxa" w:w="110"/>
            </w:tcMar>
            <w:vAlign w:val="center"/>
          </w:tcPr>
          <w:p>
            <w:r>
              <w:rPr>
                <w:b w:val="false"/>
                <w:bCs w:val="false"/>
                <w:color w:val="0b0b0b"/>
                <w:sz w:val="17"/>
                <w:szCs w:val="17"/>
              </w:rPr>
              <w:t xml:space="preserve">0.682</w:t>
            </w:r>
          </w:p>
        </w:tc>
        <w:tc>
          <w:tcPr>
            <w:tcW w:type="dxa" w:w="1700"/>
            <w:tcMar>
              <w:top w:type="dxa" w:w="90"/>
              <w:left w:type="dxa" w:w="110"/>
              <w:bottom w:type="dxa" w:w="90"/>
              <w:right w:type="dxa" w:w="110"/>
            </w:tcMar>
            <w:vAlign w:val="center"/>
          </w:tcPr>
          <w:p>
            <w:r>
              <w:rPr>
                <w:b w:val="false"/>
                <w:bCs w:val="false"/>
                <w:color w:val="0b0b0b"/>
                <w:sz w:val="17"/>
                <w:szCs w:val="17"/>
              </w:rPr>
              <w:t xml:space="preserve">1.76</w:t>
            </w:r>
          </w:p>
        </w:tc>
        <w:tc>
          <w:tcPr>
            <w:tcW w:type="dxa" w:w="1500"/>
            <w:tcMar>
              <w:top w:type="dxa" w:w="90"/>
              <w:left w:type="dxa" w:w="110"/>
              <w:bottom w:type="dxa" w:w="90"/>
              <w:right w:type="dxa" w:w="110"/>
            </w:tcMar>
            <w:vAlign w:val="center"/>
          </w:tcPr>
          <w:p>
            <w:r>
              <w:rPr>
                <w:b w:val="false"/>
                <w:bCs w:val="false"/>
                <w:color w:val="0b0b0b"/>
                <w:sz w:val="17"/>
                <w:szCs w:val="17"/>
              </w:rPr>
              <w:t xml:space="preserve">34.7</w:t>
            </w:r>
          </w:p>
        </w:tc>
        <w:tc>
          <w:tcPr>
            <w:tcW w:type="dxa" w:w="1500"/>
            <w:tcMar>
              <w:top w:type="dxa" w:w="90"/>
              <w:left w:type="dxa" w:w="110"/>
              <w:bottom w:type="dxa" w:w="90"/>
              <w:right w:type="dxa" w:w="110"/>
            </w:tcMar>
            <w:vAlign w:val="center"/>
          </w:tcPr>
          <w:p>
            <w:r>
              <w:rPr>
                <w:b w:val="false"/>
                <w:bCs w:val="false"/>
                <w:color w:val="0b0b0b"/>
                <w:sz w:val="17"/>
                <w:szCs w:val="17"/>
              </w:rPr>
              <w:t xml:space="preserve">1,070.6</w:t>
            </w:r>
          </w:p>
        </w:tc>
        <w:tc>
          <w:tcPr>
            <w:tcW w:type="dxa" w:w="760"/>
            <w:tcMar>
              <w:top w:type="dxa" w:w="90"/>
              <w:left w:type="dxa" w:w="110"/>
              <w:bottom w:type="dxa" w:w="90"/>
              <w:right w:type="dxa" w:w="110"/>
            </w:tcMar>
            <w:vAlign w:val="center"/>
          </w:tcPr>
          <w:p>
            <w:r>
              <w:rPr>
                <w:b w:val="false"/>
                <w:bCs w:val="false"/>
                <w:color w:val="0b0b0b"/>
                <w:sz w:val="17"/>
                <w:szCs w:val="17"/>
              </w:rPr>
              <w:t xml:space="preserve">Sí</w:t>
            </w:r>
          </w:p>
        </w:tc>
      </w:tr>
      <w:tr>
        <w:tc>
          <w:tcPr>
            <w:tcW w:type="dxa" w:w="2600"/>
            <w:shd w:fill="f9f9f7" w:color="auto" w:val="clear"/>
            <w:tcMar>
              <w:top w:type="dxa" w:w="90"/>
              <w:left w:type="dxa" w:w="110"/>
              <w:bottom w:type="dxa" w:w="90"/>
              <w:right w:type="dxa" w:w="110"/>
            </w:tcMar>
            <w:vAlign w:val="center"/>
          </w:tcPr>
          <w:p>
            <w:r>
              <w:rPr>
                <w:b w:val="false"/>
                <w:bCs w:val="false"/>
                <w:color w:val="0b0b0b"/>
                <w:sz w:val="17"/>
                <w:szCs w:val="17"/>
              </w:rPr>
              <w:t xml:space="preserve">Regresión logística</w:t>
            </w:r>
          </w:p>
        </w:tc>
        <w:tc>
          <w:tcPr>
            <w:tcW w:type="dxa" w:w="1300"/>
            <w:shd w:fill="f9f9f7" w:color="auto" w:val="clear"/>
            <w:tcMar>
              <w:top w:type="dxa" w:w="90"/>
              <w:left w:type="dxa" w:w="110"/>
              <w:bottom w:type="dxa" w:w="90"/>
              <w:right w:type="dxa" w:w="110"/>
            </w:tcMar>
            <w:vAlign w:val="center"/>
          </w:tcPr>
          <w:p>
            <w:r>
              <w:rPr>
                <w:b w:val="false"/>
                <w:bCs w:val="false"/>
                <w:color w:val="0b0b0b"/>
                <w:sz w:val="17"/>
                <w:szCs w:val="17"/>
              </w:rPr>
              <w:t xml:space="preserve">0.676</w:t>
            </w:r>
          </w:p>
        </w:tc>
        <w:tc>
          <w:tcPr>
            <w:tcW w:type="dxa" w:w="1700"/>
            <w:shd w:fill="f9f9f7" w:color="auto" w:val="clear"/>
            <w:tcMar>
              <w:top w:type="dxa" w:w="90"/>
              <w:left w:type="dxa" w:w="110"/>
              <w:bottom w:type="dxa" w:w="90"/>
              <w:right w:type="dxa" w:w="110"/>
            </w:tcMar>
            <w:vAlign w:val="center"/>
          </w:tcPr>
          <w:p>
            <w:r>
              <w:rPr>
                <w:b w:val="false"/>
                <w:bCs w:val="false"/>
                <w:color w:val="0b0b0b"/>
                <w:sz w:val="17"/>
                <w:szCs w:val="17"/>
              </w:rPr>
              <w:t xml:space="preserve">0.06</w:t>
            </w:r>
          </w:p>
        </w:tc>
        <w:tc>
          <w:tcPr>
            <w:tcW w:type="dxa" w:w="1500"/>
            <w:shd w:fill="f9f9f7" w:color="auto" w:val="clear"/>
            <w:tcMar>
              <w:top w:type="dxa" w:w="90"/>
              <w:left w:type="dxa" w:w="110"/>
              <w:bottom w:type="dxa" w:w="90"/>
              <w:right w:type="dxa" w:w="110"/>
            </w:tcMar>
            <w:vAlign w:val="center"/>
          </w:tcPr>
          <w:p>
            <w:r>
              <w:rPr>
                <w:b w:val="false"/>
                <w:bCs w:val="false"/>
                <w:color w:val="0b0b0b"/>
                <w:sz w:val="17"/>
                <w:szCs w:val="17"/>
              </w:rPr>
              <w:t xml:space="preserve">5.4</w:t>
            </w:r>
          </w:p>
        </w:tc>
        <w:tc>
          <w:tcPr>
            <w:tcW w:type="dxa" w:w="1500"/>
            <w:shd w:fill="f9f9f7" w:color="auto" w:val="clear"/>
            <w:tcMar>
              <w:top w:type="dxa" w:w="90"/>
              <w:left w:type="dxa" w:w="110"/>
              <w:bottom w:type="dxa" w:w="90"/>
              <w:right w:type="dxa" w:w="110"/>
            </w:tcMar>
            <w:vAlign w:val="center"/>
          </w:tcPr>
          <w:p>
            <w:r>
              <w:rPr>
                <w:b w:val="false"/>
                <w:bCs w:val="false"/>
                <w:color w:val="0b0b0b"/>
                <w:sz w:val="17"/>
                <w:szCs w:val="17"/>
              </w:rPr>
              <w:t xml:space="preserve">5.9</w:t>
            </w:r>
          </w:p>
        </w:tc>
        <w:tc>
          <w:tcPr>
            <w:tcW w:type="dxa" w:w="760"/>
            <w:shd w:fill="f9f9f7" w:color="auto" w:val="clear"/>
            <w:tcMar>
              <w:top w:type="dxa" w:w="90"/>
              <w:left w:type="dxa" w:w="110"/>
              <w:bottom w:type="dxa" w:w="90"/>
              <w:right w:type="dxa" w:w="110"/>
            </w:tcMar>
            <w:vAlign w:val="center"/>
          </w:tcPr>
          <w:p>
            <w:r>
              <w:rPr>
                <w:b w:val="false"/>
                <w:bCs w:val="false"/>
                <w:color w:val="0b0b0b"/>
                <w:sz w:val="17"/>
                <w:szCs w:val="17"/>
              </w:rPr>
              <w:t xml:space="preserve">Sí</w:t>
            </w:r>
          </w:p>
        </w:tc>
      </w:tr>
      <w:tr>
        <w:tc>
          <w:tcPr>
            <w:tcW w:type="dxa" w:w="2600"/>
            <w:tcMar>
              <w:top w:type="dxa" w:w="90"/>
              <w:left w:type="dxa" w:w="110"/>
              <w:bottom w:type="dxa" w:w="90"/>
              <w:right w:type="dxa" w:w="110"/>
            </w:tcMar>
            <w:vAlign w:val="center"/>
          </w:tcPr>
          <w:p>
            <w:r>
              <w:rPr>
                <w:b w:val="false"/>
                <w:bCs w:val="false"/>
                <w:color w:val="0b0b0b"/>
                <w:sz w:val="17"/>
                <w:szCs w:val="17"/>
              </w:rPr>
              <w:t xml:space="preserve">Random Forest (300)</w:t>
            </w:r>
          </w:p>
        </w:tc>
        <w:tc>
          <w:tcPr>
            <w:tcW w:type="dxa" w:w="1300"/>
            <w:tcMar>
              <w:top w:type="dxa" w:w="90"/>
              <w:left w:type="dxa" w:w="110"/>
              <w:bottom w:type="dxa" w:w="90"/>
              <w:right w:type="dxa" w:w="110"/>
            </w:tcMar>
            <w:vAlign w:val="center"/>
          </w:tcPr>
          <w:p>
            <w:r>
              <w:rPr>
                <w:b w:val="false"/>
                <w:bCs w:val="false"/>
                <w:color w:val="0b0b0b"/>
                <w:sz w:val="17"/>
                <w:szCs w:val="17"/>
              </w:rPr>
              <w:t xml:space="preserve">0.632</w:t>
            </w:r>
          </w:p>
        </w:tc>
        <w:tc>
          <w:tcPr>
            <w:tcW w:type="dxa" w:w="1700"/>
            <w:tcMar>
              <w:top w:type="dxa" w:w="90"/>
              <w:left w:type="dxa" w:w="110"/>
              <w:bottom w:type="dxa" w:w="90"/>
              <w:right w:type="dxa" w:w="110"/>
            </w:tcMar>
            <w:vAlign w:val="center"/>
          </w:tcPr>
          <w:p>
            <w:r>
              <w:rPr>
                <w:b w:val="false"/>
                <w:bCs w:val="false"/>
                <w:color w:val="0b0b0b"/>
                <w:sz w:val="17"/>
                <w:szCs w:val="17"/>
              </w:rPr>
              <w:t xml:space="preserve">3.40</w:t>
            </w:r>
          </w:p>
        </w:tc>
        <w:tc>
          <w:tcPr>
            <w:tcW w:type="dxa" w:w="1500"/>
            <w:tcMar>
              <w:top w:type="dxa" w:w="90"/>
              <w:left w:type="dxa" w:w="110"/>
              <w:bottom w:type="dxa" w:w="90"/>
              <w:right w:type="dxa" w:w="110"/>
            </w:tcMar>
            <w:vAlign w:val="center"/>
          </w:tcPr>
          <w:p>
            <w:r>
              <w:rPr>
                <w:b w:val="false"/>
                <w:bCs w:val="false"/>
                <w:color w:val="0b0b0b"/>
                <w:sz w:val="17"/>
                <w:szCs w:val="17"/>
              </w:rPr>
              <w:t xml:space="preserve">142.1</w:t>
            </w:r>
          </w:p>
        </w:tc>
        <w:tc>
          <w:tcPr>
            <w:tcW w:type="dxa" w:w="1500"/>
            <w:tcMar>
              <w:top w:type="dxa" w:w="90"/>
              <w:left w:type="dxa" w:w="110"/>
              <w:bottom w:type="dxa" w:w="90"/>
              <w:right w:type="dxa" w:w="110"/>
            </w:tcMar>
            <w:vAlign w:val="center"/>
          </w:tcPr>
          <w:p>
            <w:r>
              <w:rPr>
                <w:b w:val="false"/>
                <w:bCs w:val="false"/>
                <w:color w:val="0b0b0b"/>
                <w:sz w:val="17"/>
                <w:szCs w:val="17"/>
              </w:rPr>
              <w:t xml:space="preserve">81,528.9</w:t>
            </w:r>
          </w:p>
        </w:tc>
        <w:tc>
          <w:tcPr>
            <w:tcW w:type="dxa" w:w="760"/>
            <w:tcMar>
              <w:top w:type="dxa" w:w="90"/>
              <w:left w:type="dxa" w:w="110"/>
              <w:bottom w:type="dxa" w:w="90"/>
              <w:right w:type="dxa" w:w="110"/>
            </w:tcMar>
            <w:vAlign w:val="center"/>
          </w:tcPr>
          <w:p>
            <w:r>
              <w:rPr>
                <w:b w:val="false"/>
                <w:bCs w:val="false"/>
                <w:color w:val="0b0b0b"/>
                <w:sz w:val="17"/>
                <w:szCs w:val="17"/>
              </w:rPr>
              <w:t xml:space="preserve">No</w:t>
            </w:r>
          </w:p>
        </w:tc>
      </w:tr>
      <w:tr>
        <w:tc>
          <w:tcPr>
            <w:tcW w:type="dxa" w:w="2600"/>
            <w:shd w:fill="f9f9f7" w:color="auto" w:val="clear"/>
            <w:tcMar>
              <w:top w:type="dxa" w:w="90"/>
              <w:left w:type="dxa" w:w="110"/>
              <w:bottom w:type="dxa" w:w="90"/>
              <w:right w:type="dxa" w:w="110"/>
            </w:tcMar>
            <w:vAlign w:val="center"/>
          </w:tcPr>
          <w:p>
            <w:r>
              <w:rPr>
                <w:b w:val="false"/>
                <w:bCs w:val="false"/>
                <w:color w:val="0b0b0b"/>
                <w:sz w:val="17"/>
                <w:szCs w:val="17"/>
              </w:rPr>
              <w:t xml:space="preserve">Random Forest (100)</w:t>
            </w:r>
          </w:p>
        </w:tc>
        <w:tc>
          <w:tcPr>
            <w:tcW w:type="dxa" w:w="1300"/>
            <w:shd w:fill="f9f9f7" w:color="auto" w:val="clear"/>
            <w:tcMar>
              <w:top w:type="dxa" w:w="90"/>
              <w:left w:type="dxa" w:w="110"/>
              <w:bottom w:type="dxa" w:w="90"/>
              <w:right w:type="dxa" w:w="110"/>
            </w:tcMar>
            <w:vAlign w:val="center"/>
          </w:tcPr>
          <w:p>
            <w:r>
              <w:rPr>
                <w:b w:val="false"/>
                <w:bCs w:val="false"/>
                <w:color w:val="0b0b0b"/>
                <w:sz w:val="17"/>
                <w:szCs w:val="17"/>
              </w:rPr>
              <w:t xml:space="preserve">0.629</w:t>
            </w:r>
          </w:p>
        </w:tc>
        <w:tc>
          <w:tcPr>
            <w:tcW w:type="dxa" w:w="1700"/>
            <w:shd w:fill="f9f9f7" w:color="auto" w:val="clear"/>
            <w:tcMar>
              <w:top w:type="dxa" w:w="90"/>
              <w:left w:type="dxa" w:w="110"/>
              <w:bottom w:type="dxa" w:w="90"/>
              <w:right w:type="dxa" w:w="110"/>
            </w:tcMar>
            <w:vAlign w:val="center"/>
          </w:tcPr>
          <w:p>
            <w:r>
              <w:rPr>
                <w:b w:val="false"/>
                <w:bCs w:val="false"/>
                <w:color w:val="0b0b0b"/>
                <w:sz w:val="17"/>
                <w:szCs w:val="17"/>
              </w:rPr>
              <w:t xml:space="preserve">0.82</w:t>
            </w:r>
          </w:p>
        </w:tc>
        <w:tc>
          <w:tcPr>
            <w:tcW w:type="dxa" w:w="1500"/>
            <w:shd w:fill="f9f9f7" w:color="auto" w:val="clear"/>
            <w:tcMar>
              <w:top w:type="dxa" w:w="90"/>
              <w:left w:type="dxa" w:w="110"/>
              <w:bottom w:type="dxa" w:w="90"/>
              <w:right w:type="dxa" w:w="110"/>
            </w:tcMar>
            <w:vAlign w:val="center"/>
          </w:tcPr>
          <w:p>
            <w:r>
              <w:rPr>
                <w:b w:val="false"/>
                <w:bCs w:val="false"/>
                <w:color w:val="0b0b0b"/>
                <w:sz w:val="17"/>
                <w:szCs w:val="17"/>
              </w:rPr>
              <w:t xml:space="preserve">76.1</w:t>
            </w:r>
          </w:p>
        </w:tc>
        <w:tc>
          <w:tcPr>
            <w:tcW w:type="dxa" w:w="1500"/>
            <w:shd w:fill="f9f9f7" w:color="auto" w:val="clear"/>
            <w:tcMar>
              <w:top w:type="dxa" w:w="90"/>
              <w:left w:type="dxa" w:w="110"/>
              <w:bottom w:type="dxa" w:w="90"/>
              <w:right w:type="dxa" w:w="110"/>
            </w:tcMar>
            <w:vAlign w:val="center"/>
          </w:tcPr>
          <w:p>
            <w:r>
              <w:rPr>
                <w:b w:val="false"/>
                <w:bCs w:val="false"/>
                <w:color w:val="0b0b0b"/>
                <w:sz w:val="17"/>
                <w:szCs w:val="17"/>
              </w:rPr>
              <w:t xml:space="preserve">27,085.6</w:t>
            </w:r>
          </w:p>
        </w:tc>
        <w:tc>
          <w:tcPr>
            <w:tcW w:type="dxa" w:w="760"/>
            <w:shd w:fill="f9f9f7" w:color="auto" w:val="clear"/>
            <w:tcMar>
              <w:top w:type="dxa" w:w="90"/>
              <w:left w:type="dxa" w:w="110"/>
              <w:bottom w:type="dxa" w:w="90"/>
              <w:right w:type="dxa" w:w="110"/>
            </w:tcMar>
            <w:vAlign w:val="center"/>
          </w:tcPr>
          <w:p>
            <w:r>
              <w:rPr>
                <w:b w:val="false"/>
                <w:bCs w:val="false"/>
                <w:color w:val="0b0b0b"/>
                <w:sz w:val="17"/>
                <w:szCs w:val="17"/>
              </w:rPr>
              <w:t xml:space="preserve">No</w:t>
            </w:r>
          </w:p>
        </w:tc>
      </w:tr>
      <w:tr>
        <w:tc>
          <w:tcPr>
            <w:tcW w:type="dxa" w:w="2600"/>
            <w:tcMar>
              <w:top w:type="dxa" w:w="90"/>
              <w:left w:type="dxa" w:w="110"/>
              <w:bottom w:type="dxa" w:w="90"/>
              <w:right w:type="dxa" w:w="110"/>
            </w:tcMar>
            <w:vAlign w:val="center"/>
          </w:tcPr>
          <w:p>
            <w:r>
              <w:rPr>
                <w:b w:val="false"/>
                <w:bCs w:val="false"/>
                <w:color w:val="0b0b0b"/>
                <w:sz w:val="17"/>
                <w:szCs w:val="17"/>
              </w:rPr>
              <w:t xml:space="preserve">SVM (C=10)</w:t>
            </w:r>
          </w:p>
        </w:tc>
        <w:tc>
          <w:tcPr>
            <w:tcW w:type="dxa" w:w="1300"/>
            <w:tcMar>
              <w:top w:type="dxa" w:w="90"/>
              <w:left w:type="dxa" w:w="110"/>
              <w:bottom w:type="dxa" w:w="90"/>
              <w:right w:type="dxa" w:w="110"/>
            </w:tcMar>
            <w:vAlign w:val="center"/>
          </w:tcPr>
          <w:p>
            <w:r>
              <w:rPr>
                <w:b w:val="false"/>
                <w:bCs w:val="false"/>
                <w:color w:val="0b0b0b"/>
                <w:sz w:val="17"/>
                <w:szCs w:val="17"/>
              </w:rPr>
              <w:t xml:space="preserve">0.618</w:t>
            </w:r>
          </w:p>
        </w:tc>
        <w:tc>
          <w:tcPr>
            <w:tcW w:type="dxa" w:w="1700"/>
            <w:tcMar>
              <w:top w:type="dxa" w:w="90"/>
              <w:left w:type="dxa" w:w="110"/>
              <w:bottom w:type="dxa" w:w="90"/>
              <w:right w:type="dxa" w:w="110"/>
            </w:tcMar>
            <w:vAlign w:val="center"/>
          </w:tcPr>
          <w:p>
            <w:r>
              <w:rPr>
                <w:b w:val="false"/>
                <w:bCs w:val="false"/>
                <w:color w:val="0b0b0b"/>
                <w:sz w:val="17"/>
                <w:szCs w:val="17"/>
              </w:rPr>
              <w:t xml:space="preserve">0.71</w:t>
            </w:r>
          </w:p>
        </w:tc>
        <w:tc>
          <w:tcPr>
            <w:tcW w:type="dxa" w:w="1500"/>
            <w:tcMar>
              <w:top w:type="dxa" w:w="90"/>
              <w:left w:type="dxa" w:w="110"/>
              <w:bottom w:type="dxa" w:w="90"/>
              <w:right w:type="dxa" w:w="110"/>
            </w:tcMar>
            <w:vAlign w:val="center"/>
          </w:tcPr>
          <w:p>
            <w:r>
              <w:rPr>
                <w:b w:val="false"/>
                <w:bCs w:val="false"/>
                <w:color w:val="0b0b0b"/>
                <w:sz w:val="17"/>
                <w:szCs w:val="17"/>
              </w:rPr>
              <w:t xml:space="preserve">340.1</w:t>
            </w:r>
          </w:p>
        </w:tc>
        <w:tc>
          <w:tcPr>
            <w:tcW w:type="dxa" w:w="1500"/>
            <w:tcMar>
              <w:top w:type="dxa" w:w="90"/>
              <w:left w:type="dxa" w:w="110"/>
              <w:bottom w:type="dxa" w:w="90"/>
              <w:right w:type="dxa" w:w="110"/>
            </w:tcMar>
            <w:vAlign w:val="center"/>
          </w:tcPr>
          <w:p>
            <w:r>
              <w:rPr>
                <w:b w:val="false"/>
                <w:bCs w:val="false"/>
                <w:color w:val="0b0b0b"/>
                <w:sz w:val="17"/>
                <w:szCs w:val="17"/>
              </w:rPr>
              <w:t xml:space="preserve">1,254.5</w:t>
            </w:r>
          </w:p>
        </w:tc>
        <w:tc>
          <w:tcPr>
            <w:tcW w:type="dxa" w:w="760"/>
            <w:tcMar>
              <w:top w:type="dxa" w:w="90"/>
              <w:left w:type="dxa" w:w="110"/>
              <w:bottom w:type="dxa" w:w="90"/>
              <w:right w:type="dxa" w:w="110"/>
            </w:tcMar>
            <w:vAlign w:val="center"/>
          </w:tcPr>
          <w:p>
            <w:r>
              <w:rPr>
                <w:b w:val="false"/>
                <w:bCs w:val="false"/>
                <w:color w:val="0b0b0b"/>
                <w:sz w:val="17"/>
                <w:szCs w:val="17"/>
              </w:rPr>
              <w:t xml:space="preserve">No</w:t>
            </w:r>
          </w:p>
        </w:tc>
      </w:tr>
      <w:tr>
        <w:tc>
          <w:tcPr>
            <w:tcW w:type="dxa" w:w="2600"/>
            <w:shd w:fill="f9f9f7" w:color="auto" w:val="clear"/>
            <w:tcMar>
              <w:top w:type="dxa" w:w="90"/>
              <w:left w:type="dxa" w:w="110"/>
              <w:bottom w:type="dxa" w:w="90"/>
              <w:right w:type="dxa" w:w="110"/>
            </w:tcMar>
            <w:vAlign w:val="center"/>
          </w:tcPr>
          <w:p>
            <w:r>
              <w:rPr>
                <w:b w:val="false"/>
                <w:bCs w:val="false"/>
                <w:color w:val="0b0b0b"/>
                <w:sz w:val="17"/>
                <w:szCs w:val="17"/>
              </w:rPr>
              <w:t xml:space="preserve">SVM (C=1)</w:t>
            </w:r>
          </w:p>
        </w:tc>
        <w:tc>
          <w:tcPr>
            <w:tcW w:type="dxa" w:w="1300"/>
            <w:shd w:fill="f9f9f7" w:color="auto" w:val="clear"/>
            <w:tcMar>
              <w:top w:type="dxa" w:w="90"/>
              <w:left w:type="dxa" w:w="110"/>
              <w:bottom w:type="dxa" w:w="90"/>
              <w:right w:type="dxa" w:w="110"/>
            </w:tcMar>
            <w:vAlign w:val="center"/>
          </w:tcPr>
          <w:p>
            <w:r>
              <w:rPr>
                <w:b w:val="false"/>
                <w:bCs w:val="false"/>
                <w:color w:val="0b0b0b"/>
                <w:sz w:val="17"/>
                <w:szCs w:val="17"/>
              </w:rPr>
              <w:t xml:space="preserve">0.552</w:t>
            </w:r>
          </w:p>
        </w:tc>
        <w:tc>
          <w:tcPr>
            <w:tcW w:type="dxa" w:w="1700"/>
            <w:shd w:fill="f9f9f7" w:color="auto" w:val="clear"/>
            <w:tcMar>
              <w:top w:type="dxa" w:w="90"/>
              <w:left w:type="dxa" w:w="110"/>
              <w:bottom w:type="dxa" w:w="90"/>
              <w:right w:type="dxa" w:w="110"/>
            </w:tcMar>
            <w:vAlign w:val="center"/>
          </w:tcPr>
          <w:p>
            <w:r>
              <w:rPr>
                <w:b w:val="false"/>
                <w:bCs w:val="false"/>
                <w:color w:val="0b0b0b"/>
                <w:sz w:val="17"/>
                <w:szCs w:val="17"/>
              </w:rPr>
              <w:t xml:space="preserve">0.63</w:t>
            </w:r>
          </w:p>
        </w:tc>
        <w:tc>
          <w:tcPr>
            <w:tcW w:type="dxa" w:w="1500"/>
            <w:shd w:fill="f9f9f7" w:color="auto" w:val="clear"/>
            <w:tcMar>
              <w:top w:type="dxa" w:w="90"/>
              <w:left w:type="dxa" w:w="110"/>
              <w:bottom w:type="dxa" w:w="90"/>
              <w:right w:type="dxa" w:w="110"/>
            </w:tcMar>
            <w:vAlign w:val="center"/>
          </w:tcPr>
          <w:p>
            <w:r>
              <w:rPr>
                <w:b w:val="false"/>
                <w:bCs w:val="false"/>
                <w:color w:val="0b0b0b"/>
                <w:sz w:val="17"/>
                <w:szCs w:val="17"/>
              </w:rPr>
              <w:t xml:space="preserve">300.9</w:t>
            </w:r>
          </w:p>
        </w:tc>
        <w:tc>
          <w:tcPr>
            <w:tcW w:type="dxa" w:w="1500"/>
            <w:shd w:fill="f9f9f7" w:color="auto" w:val="clear"/>
            <w:tcMar>
              <w:top w:type="dxa" w:w="90"/>
              <w:left w:type="dxa" w:w="110"/>
              <w:bottom w:type="dxa" w:w="90"/>
              <w:right w:type="dxa" w:w="110"/>
            </w:tcMar>
            <w:vAlign w:val="center"/>
          </w:tcPr>
          <w:p>
            <w:r>
              <w:rPr>
                <w:b w:val="false"/>
                <w:bCs w:val="false"/>
                <w:color w:val="0b0b0b"/>
                <w:sz w:val="17"/>
                <w:szCs w:val="17"/>
              </w:rPr>
              <w:t xml:space="preserve">1,277.1</w:t>
            </w:r>
          </w:p>
        </w:tc>
        <w:tc>
          <w:tcPr>
            <w:tcW w:type="dxa" w:w="760"/>
            <w:shd w:fill="f9f9f7" w:color="auto" w:val="clear"/>
            <w:tcMar>
              <w:top w:type="dxa" w:w="90"/>
              <w:left w:type="dxa" w:w="110"/>
              <w:bottom w:type="dxa" w:w="90"/>
              <w:right w:type="dxa" w:w="110"/>
            </w:tcMar>
            <w:vAlign w:val="center"/>
          </w:tcPr>
          <w:p>
            <w:r>
              <w:rPr>
                <w:b w:val="false"/>
                <w:bCs w:val="false"/>
                <w:color w:val="0b0b0b"/>
                <w:sz w:val="17"/>
                <w:szCs w:val="17"/>
              </w:rPr>
              <w:t xml:space="preserve">No</w:t>
            </w:r>
          </w:p>
        </w:tc>
      </w:tr>
      <w:tr>
        <w:tc>
          <w:tcPr>
            <w:tcW w:type="dxa" w:w="2600"/>
            <w:tcMar>
              <w:top w:type="dxa" w:w="90"/>
              <w:left w:type="dxa" w:w="110"/>
              <w:bottom w:type="dxa" w:w="90"/>
              <w:right w:type="dxa" w:w="110"/>
            </w:tcMar>
            <w:vAlign w:val="center"/>
          </w:tcPr>
          <w:p>
            <w:r>
              <w:rPr>
                <w:b w:val="false"/>
                <w:bCs w:val="false"/>
                <w:color w:val="0b0b0b"/>
                <w:sz w:val="17"/>
                <w:szCs w:val="17"/>
              </w:rPr>
              <w:t xml:space="preserve">SVM (C=1) + PCA</w:t>
            </w:r>
          </w:p>
        </w:tc>
        <w:tc>
          <w:tcPr>
            <w:tcW w:type="dxa" w:w="1300"/>
            <w:tcMar>
              <w:top w:type="dxa" w:w="90"/>
              <w:left w:type="dxa" w:w="110"/>
              <w:bottom w:type="dxa" w:w="90"/>
              <w:right w:type="dxa" w:w="110"/>
            </w:tcMar>
            <w:vAlign w:val="center"/>
          </w:tcPr>
          <w:p>
            <w:r>
              <w:rPr>
                <w:b w:val="false"/>
                <w:bCs w:val="false"/>
                <w:color w:val="0b0b0b"/>
                <w:sz w:val="17"/>
                <w:szCs w:val="17"/>
              </w:rPr>
              <w:t xml:space="preserve">0.552</w:t>
            </w:r>
          </w:p>
        </w:tc>
        <w:tc>
          <w:tcPr>
            <w:tcW w:type="dxa" w:w="1700"/>
            <w:tcMar>
              <w:top w:type="dxa" w:w="90"/>
              <w:left w:type="dxa" w:w="110"/>
              <w:bottom w:type="dxa" w:w="90"/>
              <w:right w:type="dxa" w:w="110"/>
            </w:tcMar>
            <w:vAlign w:val="center"/>
          </w:tcPr>
          <w:p>
            <w:r>
              <w:rPr>
                <w:b w:val="false"/>
                <w:bCs w:val="false"/>
                <w:color w:val="0b0b0b"/>
                <w:sz w:val="17"/>
                <w:szCs w:val="17"/>
              </w:rPr>
              <w:t xml:space="preserve">1.28</w:t>
            </w:r>
          </w:p>
        </w:tc>
        <w:tc>
          <w:tcPr>
            <w:tcW w:type="dxa" w:w="1500"/>
            <w:tcMar>
              <w:top w:type="dxa" w:w="90"/>
              <w:left w:type="dxa" w:w="110"/>
              <w:bottom w:type="dxa" w:w="90"/>
              <w:right w:type="dxa" w:w="110"/>
            </w:tcMar>
            <w:vAlign w:val="center"/>
          </w:tcPr>
          <w:p>
            <w:r>
              <w:rPr>
                <w:b w:val="false"/>
                <w:bCs w:val="false"/>
                <w:color w:val="0b0b0b"/>
                <w:sz w:val="17"/>
                <w:szCs w:val="17"/>
              </w:rPr>
              <w:t xml:space="preserve">439.6</w:t>
            </w:r>
          </w:p>
        </w:tc>
        <w:tc>
          <w:tcPr>
            <w:tcW w:type="dxa" w:w="1500"/>
            <w:tcMar>
              <w:top w:type="dxa" w:w="90"/>
              <w:left w:type="dxa" w:w="110"/>
              <w:bottom w:type="dxa" w:w="90"/>
              <w:right w:type="dxa" w:w="110"/>
            </w:tcMar>
            <w:vAlign w:val="center"/>
          </w:tcPr>
          <w:p>
            <w:r>
              <w:rPr>
                <w:b w:val="false"/>
                <w:bCs w:val="false"/>
                <w:color w:val="0b0b0b"/>
                <w:sz w:val="17"/>
                <w:szCs w:val="17"/>
              </w:rPr>
              <w:t xml:space="preserve">1,278.0</w:t>
            </w:r>
          </w:p>
        </w:tc>
        <w:tc>
          <w:tcPr>
            <w:tcW w:type="dxa" w:w="760"/>
            <w:tcMar>
              <w:top w:type="dxa" w:w="90"/>
              <w:left w:type="dxa" w:w="110"/>
              <w:bottom w:type="dxa" w:w="90"/>
              <w:right w:type="dxa" w:w="110"/>
            </w:tcMar>
            <w:vAlign w:val="center"/>
          </w:tcPr>
          <w:p>
            <w:r>
              <w:rPr>
                <w:b w:val="false"/>
                <w:bCs w:val="false"/>
                <w:color w:val="0b0b0b"/>
                <w:sz w:val="17"/>
                <w:szCs w:val="17"/>
              </w:rPr>
              <w:t xml:space="preserve">No</w:t>
            </w:r>
          </w:p>
        </w:tc>
      </w:tr>
    </w:tbl>
    <w:p>
      <w:pPr>
        <w:spacing w:after="260" w:before="0"/>
        <w:jc w:val="left"/>
      </w:pPr>
      <w:r>
        <w:rPr>
          <w:b w:val="false"/>
          <w:bCs w:val="false"/>
          <w:i w:val="false"/>
          <w:iCs w:val="false"/>
          <w:color w:val="52514e"/>
          <w:sz w:val="16"/>
          <w:szCs w:val="16"/>
        </w:rPr>
        <w:t xml:space="preserve">Tabla completa en reports/green_ai_results.csv; modelos serializados en reports/models/*.joblib.</w:t>
      </w:r>
    </w:p>
    <w:p>
      <w:pPr>
        <w:pStyle w:val="Heading2"/>
        <w:spacing w:after="140" w:before="280"/>
      </w:pPr>
      <w:r>
        <w:rPr>
          <w:b/>
          <w:bCs/>
          <w:color w:val="0b0b0b"/>
        </w:rPr>
        <w:t xml:space="preserve">Figuras</w:t>
      </w:r>
    </w:p>
    <w:p>
      <w:pPr>
        <w:spacing w:after="60" w:before="120"/>
        <w:jc w:val="center"/>
      </w:pPr>
      <w:r>
        <w:drawing>
          <wp:inline distT="0" distB="0" distL="0" distR="0">
            <wp:extent cx="512445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24450" cy="3181350"/>
                    </a:xfrm>
                    <a:prstGeom prst="rect">
                      <a:avLst/>
                    </a:prstGeom>
                  </pic:spPr>
                </pic:pic>
              </a:graphicData>
            </a:graphic>
          </wp:inline>
        </w:drawing>
      </w:r>
    </w:p>
    <w:p>
      <w:pPr>
        <w:spacing w:after="220"/>
        <w:jc w:val="left"/>
      </w:pPr>
      <w:r>
        <w:rPr>
          <w:i w:val="false"/>
          <w:iCs w:val="false"/>
          <w:color w:val="52514e"/>
          <w:sz w:val="16"/>
          <w:szCs w:val="16"/>
        </w:rPr>
        <w:t xml:space="preserve">Figura 1. F1-macro por modelo del catálogo. Azul: modelos en la frontera de Pareto.</w:t>
      </w:r>
    </w:p>
    <w:p>
      <w:pPr>
        <w:spacing w:after="60" w:before="120"/>
        <w:jc w:val="center"/>
      </w:pPr>
      <w:r>
        <w:drawing>
          <wp:inline distT="0" distB="0" distL="0" distR="0">
            <wp:extent cx="512445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4450" cy="3752850"/>
                    </a:xfrm>
                    <a:prstGeom prst="rect">
                      <a:avLst/>
                    </a:prstGeom>
                  </pic:spPr>
                </pic:pic>
              </a:graphicData>
            </a:graphic>
          </wp:inline>
        </w:drawing>
      </w:r>
    </w:p>
    <w:p>
      <w:pPr>
        <w:spacing w:after="220"/>
        <w:jc w:val="left"/>
      </w:pPr>
      <w:r>
        <w:rPr>
          <w:i w:val="false"/>
          <w:iCs w:val="false"/>
          <w:color w:val="52514e"/>
          <w:sz w:val="16"/>
          <w:szCs w:val="16"/>
        </w:rPr>
        <w:t xml:space="preserve">Figura 2. Frontera de Pareto: tiempo de entrenamiento (mediana de 3) vs. F1-macro. Solo HistGradientBoosting y la regresión logística quedan no dominados.</w:t>
      </w:r>
    </w:p>
    <w:p>
      <w:pPr>
        <w:spacing w:after="60" w:before="120"/>
        <w:jc w:val="center"/>
      </w:pPr>
      <w:r>
        <w:drawing>
          <wp:inline distT="0" distB="0" distL="0" distR="0">
            <wp:extent cx="576262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400300"/>
                    </a:xfrm>
                    <a:prstGeom prst="rect">
                      <a:avLst/>
                    </a:prstGeom>
                  </pic:spPr>
                </pic:pic>
              </a:graphicData>
            </a:graphic>
          </wp:inline>
        </w:drawing>
      </w:r>
    </w:p>
    <w:p>
      <w:pPr>
        <w:spacing w:after="220"/>
        <w:jc w:val="left"/>
      </w:pPr>
      <w:r>
        <w:rPr>
          <w:i w:val="false"/>
          <w:iCs w:val="false"/>
          <w:color w:val="52514e"/>
          <w:sz w:val="16"/>
          <w:szCs w:val="16"/>
        </w:rPr>
        <w:t xml:space="preserve">Figura 3. Mapas t-SNE con semillas 42 y 7, solo variables numéricas (anio, cantidad_denuncias). Formas de grupo casi idénticas entre semillas (proyección estable); Armas de Fuego no forma un clúster propio.</w:t>
      </w:r>
    </w:p>
    <w:p>
      <w:pPr>
        <w:pStyle w:val="Heading2"/>
        <w:spacing w:after="140" w:before="280"/>
      </w:pPr>
      <w:r>
        <w:rPr>
          <w:b/>
          <w:bCs/>
          <w:color w:val="0b0b0b"/>
        </w:rPr>
        <w:t xml:space="preserve">Conclusión</w:t>
      </w:r>
    </w:p>
    <w:p>
      <w:pPr>
        <w:spacing w:after="160" w:before="0"/>
        <w:jc w:val="both"/>
      </w:pPr>
      <w:r>
        <w:rPr>
          <w:b w:val="false"/>
          <w:bCs w:val="false"/>
          <w:i w:val="false"/>
          <w:iCs w:val="false"/>
          <w:color w:val="0b0b0b"/>
          <w:sz w:val="19"/>
          <w:szCs w:val="19"/>
        </w:rPr>
        <w:t xml:space="preserve">Este laboratorio comparó seis configuraciones de modelo (regresión logística, SVM con dos valores de C, Random Forest con 100 y 300 árboles, y HistGradientBoosting) más una variante con reducción de dimensionalidad (SVM + PCA), todas sobre el mismo protocolo congelado del LAB02: mismo dataset, mismo target, misma columna excluida por fuga de información y la misma partición estratificada. A cada modelo se le midió no solo el F1-macro, sino también el tiempo de entrenamiento (mediana de 3 repeticiones), el tiempo de predicción y el tamaño del modelo serializado en disco — el eje que distingue a este LAB03 del anterior: no basta con preguntar cuál modelo es más preciso, también cuánto cuesta entrenarlo y mantenerlo.</w:t>
      </w:r>
    </w:p>
    <w:p>
      <w:pPr>
        <w:spacing w:after="160" w:before="0"/>
        <w:jc w:val="both"/>
      </w:pPr>
      <w:r>
        <w:rPr>
          <w:b w:val="false"/>
          <w:bCs w:val="false"/>
          <w:i w:val="false"/>
          <w:iCs w:val="false"/>
          <w:color w:val="0b0b0b"/>
          <w:sz w:val="19"/>
          <w:szCs w:val="19"/>
        </w:rPr>
        <w:t xml:space="preserve">El PCA aplicado al bloque numérico (solo 2 columnas: año y cantidad de denuncias) no aportó ninguna reducción real — retuvo ambas componentes — y el SVM+PCA resultante entrenó el doble de lento que el SVM equivalente sin PCA, llegando exactamente al mismo F1-macro (0.552). Los dos mapas t-SNE, generados con semillas distintas (42 y 7), produjeron formas de grupo casi idénticas entre sí, lo que indica una proyección estable; sin embargo, construida solo con variables numéricas, la clase Armas de Fuego no forma un clúster propio y aparece dispersa dentro de las otras dos clases, consistente con el bajo recall que ya tenía esa clase en el LAB02.</w:t>
      </w:r>
    </w:p>
    <w:p>
      <w:pPr>
        <w:spacing w:after="160" w:before="0"/>
        <w:jc w:val="both"/>
      </w:pPr>
      <w:r>
        <w:rPr>
          <w:b w:val="false"/>
          <w:bCs w:val="false"/>
          <w:i w:val="false"/>
          <w:iCs w:val="false"/>
          <w:color w:val="0b0b0b"/>
          <w:sz w:val="19"/>
          <w:szCs w:val="19"/>
        </w:rPr>
        <w:t xml:space="preserve">Al calcular la frontera de Pareto entre F1-macro y tiempo de entrenamiento, solo dos modelos quedaron no dominados: HistGradientBoosting (F1 = 0.682, el más preciso) y la regresión logística (F1 = 0.676, el más barato). La decisión cuantificada: la regresión logística sacrifica apenas 0.006 puntos de F1-macro (menos del 1% de diferencia relativa) a cambio de aproximadamente 96.6% menos tiempo de entrenamiento (0.06s frente a 1.76s), 99.4% menos tamaño en disco (5.9 KB frente a 1,070.6 KB) y 84.6% menos tiempo de predicción (5.4ms frente a 34.7ms). En un escenario que prioriza bajo costo computacional — el enfoque Green AI de este laboratorio — la regresión logística es la elección razonable; HistGradientBoosting solo se justificaría si maximizar el F1-macro fuera la prioridad absoluta sin importar el costo. Los dos Random Forest resultaron ser la evidencia más clara de costo sin retorno: el de 300 árboles pesa 81.5 MB en disco (unas 14,000 veces más que la regresión logística) sin superar el F1 de ninguno de los dos modelos de la frontera.</w:t>
      </w:r>
    </w:p>
    <w:p>
      <w:pPr>
        <w:spacing w:after="160" w:before="0"/>
        <w:jc w:val="both"/>
      </w:pPr>
      <w:r>
        <w:rPr>
          <w:b w:val="false"/>
          <w:bCs w:val="false"/>
          <w:i w:val="false"/>
          <w:iCs w:val="false"/>
          <w:color w:val="0b0b0b"/>
          <w:sz w:val="19"/>
          <w:szCs w:val="19"/>
        </w:rPr>
        <w:t xml:space="preserve">Una limitación honesta: esta comparación se hizo sobre F1-macro, la métrica principal declarada para el LAB03, y no sobre el detalle por clase; antes de llevar cualquiera de estos modelos a producción habría que revisar también el recall específico sobre Armas de Fuego. Además, los tiempos medidos corresponden a una sola máquina en un momento dado — no son una medición de energía ni de huella de carbono real, solo una comparación de costo computacional relativo entre modelos, que es justamente el alcance que el enfoque Green AI de este laboratorio se propuso cuantificar.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kklqjktoasuuowgf5v14" Type="http://schemas.openxmlformats.org/officeDocument/2006/relationships/hyperlink" Target="https://github.com/marionathanaelfelizlara-gif/INF8239_U01" TargetMode="External"/><Relationship Id="rId7" Type="http://schemas.openxmlformats.org/officeDocument/2006/relationships/image" Target="media/c76087c1fb5759f392d7e1a6139965cba6d09a73.png"/><Relationship Id="rId8" Type="http://schemas.openxmlformats.org/officeDocument/2006/relationships/image" Target="media/788add1628da764565025292d1e3c5c9efecd1db.png"/><Relationship Id="rId9" Type="http://schemas.openxmlformats.org/officeDocument/2006/relationships/image" Target="media/d352fd110724b798d72ccfd027ea7730a678fed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2026-10-03T12:48:40.709Z</dcterms:created>
  <dcterms:modified xsi:type="dcterms:W3CDTF">2026-10-03T12:48:40.714Z</dcterms:modified>
</cp:coreProperties>
</file>

<file path=docProps/custom.xml><?xml version="1.0" encoding="utf-8"?>
<Properties xmlns="http://schemas.openxmlformats.org/officeDocument/2006/custom-properties" xmlns:vt="http://schemas.openxmlformats.org/officeDocument/2006/docPropsVTypes"/>
</file>