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evening (checklist v3.2) — built from the Markdown guides in the same commit</w:t>
      </w:r>
    </w:p>
    <w:p>
      <w:pPr>
        <w:pStyle w:val="FirstParagraph"/>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Start w:id="13"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2"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0" name="Picture"/>
            <a:graphic>
              <a:graphicData uri="http://schemas.openxmlformats.org/drawingml/2006/picture">
                <pic:pic>
                  <pic:nvPicPr>
                    <pic:cNvPr descr="/home/user/workspace/eosc-basic-compliance/docs/img/phases.png" id="11" name="Picture"/>
                    <pic:cNvPicPr>
                      <a:picLocks noChangeArrowheads="1" noChangeAspect="1"/>
                    </pic:cNvPicPr>
                  </pic:nvPicPr>
                  <pic:blipFill>
                    <a:blip r:embed="rId9"/>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2"/>
    <w:bookmarkEnd w:id="13"/>
    <w:bookmarkStart w:id="14"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w:t>
      </w:r>
      <w:r>
        <w:t xml:space="preserve"> </w:t>
      </w:r>
      <w:r>
        <w:t xml:space="preserve">“nothing disallowed”</w:t>
      </w:r>
      <w:r>
        <w:t xml:space="preserve">,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c>
          <w:tcPr/>
          <w:p>
            <w:pPr>
              <w:pStyle w:val="Compact"/>
            </w:pPr>
            <w:r>
              <w:t xml:space="preserve">5</w:t>
            </w:r>
          </w:p>
        </w:tc>
        <w:tc>
          <w:tcPr/>
          <w:p>
            <w:pPr>
              <w:pStyle w:val="Compact"/>
            </w:pPr>
            <w:r>
              <w:t xml:space="preserve">5p</w:t>
            </w:r>
          </w:p>
        </w:tc>
        <w:tc>
          <w:tcPr/>
          <w:p>
            <w:pPr>
              <w:pStyle w:val="Compact"/>
            </w:pPr>
            <w:r>
              <w:t xml:space="preserve">policy/policies (not privacy, cookie or</w:t>
            </w:r>
            <w:r>
              <w:t xml:space="preserve"> </w:t>
            </w:r>
            <w:r>
              <w:t xml:space="preserve">“policy makers”</w:t>
            </w:r>
            <w:r>
              <w:t xml:space="preserve">), legal, terms</w:t>
            </w:r>
          </w:p>
        </w:tc>
      </w:tr>
      <w:t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w:t>
      </w:r>
      <w:r>
        <w:t xml:space="preserve"> </w:t>
      </w:r>
      <w:r>
        <w:t xml:space="preserve">“via intermediate web pages linked by the NLP”</w:t>
      </w:r>
      <w:r>
        <w:t xml:space="preserve">: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w:t>
      </w:r>
      <w:r>
        <w:t xml:space="preserve"> </w:t>
      </w:r>
      <w:r>
        <w:t xml:space="preserve">“checked and absent”</w:t>
      </w:r>
      <w:r>
        <w:t xml:space="preserve"> </w:t>
      </w:r>
      <w:r>
        <w:t xml:space="preserve">and</w:t>
      </w:r>
      <w:r>
        <w:t xml:space="preserve"> </w:t>
      </w:r>
      <w:r>
        <w:t xml:space="preserve">“never looked”</w:t>
      </w:r>
      <w:r>
        <w:t xml:space="preserve">.</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4"/>
    <w:bookmarkStart w:id="15"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5"/>
    <w:bookmarkStart w:id="20"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6"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Meaning</w:t>
            </w:r>
          </w:p>
        </w:tc>
      </w:tr>
      <w:tr>
        <w:tc>
          <w:tcPr/>
          <w:p>
            <w:pPr>
              <w:pStyle w:val="Compact"/>
            </w:pPr>
            <w:r>
              <w:rPr>
                <w:rStyle w:val="VerbatimChar"/>
              </w:rPr>
              <w:t xml:space="preserve">PASS</w:t>
            </w:r>
          </w:p>
        </w:tc>
        <w:tc>
          <w:tcPr/>
          <w:p>
            <w:pPr>
              <w:pStyle w:val="Compact"/>
            </w:pPr>
            <w:r>
              <w:t xml:space="preserve">Satisfied, and the tool can show why</w:t>
            </w:r>
          </w:p>
        </w:tc>
      </w:tr>
      <w:tr>
        <w:tc>
          <w:tcPr/>
          <w:p>
            <w:pPr>
              <w:pStyle w:val="Compact"/>
            </w:pPr>
            <w:r>
              <w:rPr>
                <w:rStyle w:val="VerbatimChar"/>
              </w:rPr>
              <w:t xml:space="preserve">FAIL</w:t>
            </w:r>
          </w:p>
        </w:tc>
        <w:tc>
          <w:tcPr/>
          <w:p>
            <w:pPr>
              <w:pStyle w:val="Compact"/>
            </w:pPr>
            <w:r>
              <w:t xml:space="preserve">Violated, and the tool can show why</w:t>
            </w:r>
          </w:p>
        </w:tc>
      </w:tr>
      <w:tr>
        <w:tc>
          <w:tcPr/>
          <w:p>
            <w:pPr>
              <w:pStyle w:val="Compact"/>
            </w:pPr>
            <w:r>
              <w:rPr>
                <w:rStyle w:val="VerbatimChar"/>
              </w:rPr>
              <w:t xml:space="preserve">MANUAL_REVIEW</w:t>
            </w:r>
          </w:p>
        </w:tc>
        <w:tc>
          <w:tcPr/>
          <w:p>
            <w:pPr>
              <w:pStyle w:val="Compact"/>
            </w:pPr>
            <w:r>
              <w:t xml:space="preserve">A human must decide; evidence is attached to make that fast</w:t>
            </w:r>
          </w:p>
        </w:tc>
      </w:tr>
      <w:t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w:t>
      </w:r>
      <w:r>
        <w:t xml:space="preserve"> </w:t>
      </w:r>
      <w:r>
        <w:t xml:space="preserve">“clearly state”</w:t>
      </w:r>
      <w:r>
        <w:t xml:space="preserve">, or quantify over</w:t>
      </w:r>
      <w:r>
        <w:t xml:space="preserve"> </w:t>
      </w:r>
      <w:r>
        <w:t xml:space="preserve">“all Node Exchange research resources</w:t>
      </w:r>
      <w:r>
        <w:t xml:space="preserve"> </w:t>
      </w:r>
      <w:r>
        <w:t xml:space="preserve">offered by the Node”</w:t>
      </w:r>
      <w:r>
        <w:t xml:space="preserv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6"/>
    <w:bookmarkStart w:id="17"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7"/>
    <w:bookmarkStart w:id="18"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8"/>
    <w:bookmarkStart w:id="19" w:name="Xb01f761edf526ca820d10c97270181bdb8dc3d6"/>
    <w:p>
      <w:pPr>
        <w:pStyle w:val="Heading3"/>
      </w:pPr>
      <w:r>
        <w:t xml:space="preserve">The two absence gates — and why there are two</w:t>
      </w:r>
    </w:p>
    <w:p>
      <w:pPr>
        <w:pStyle w:val="FirstParagraph"/>
      </w:pPr>
      <w:r>
        <w:t xml:space="preserve">Concluding</w:t>
      </w:r>
      <w:r>
        <w:t xml:space="preserve"> </w:t>
      </w:r>
      <w:r>
        <w:t xml:space="preserve">“absent”</w:t>
      </w:r>
      <w:r>
        <w:t xml:space="preserve"> </w:t>
      </w:r>
      <w:r>
        <w:t xml:space="preserve">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w:t>
      </w:r>
      <w:r>
        <w:t xml:space="preserve"> </w:t>
      </w:r>
      <w:r>
        <w:t xml:space="preserve">“cannot conclude”</w:t>
      </w:r>
      <w:r>
        <w:t xml:space="preserv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19"/>
    <w:bookmarkEnd w:id="20"/>
    <w:bookmarkStart w:id="31"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1"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w:t>
      </w:r>
      <w:r>
        <w:t xml:space="preserve"> </w:t>
      </w:r>
      <w:r>
        <w:t xml:space="preserve">“not</w:t>
      </w:r>
      <w:r>
        <w:t xml:space="preserve"> </w:t>
      </w:r>
      <w:r>
        <w:t xml:space="preserve">publicly accessible”</w:t>
      </w:r>
      <w:r>
        <w:t xml:space="preserve"> </w:t>
      </w:r>
      <w:r>
        <w:t xml:space="preserve">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1"/>
    <w:bookmarkStart w:id="22"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2"/>
    <w:bookmarkStart w:id="23"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3"/>
    <w:bookmarkStart w:id="24"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w:t>
      </w:r>
      <w:r>
        <w:t xml:space="preserve"> </w:t>
      </w:r>
      <w:r>
        <w:t xml:space="preserve">“eosc”</w:t>
      </w:r>
      <w:r>
        <w:t xml:space="preserve"> </w:t>
      </w:r>
      <w:r>
        <w:t xml:space="preserve">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w:t>
      </w:r>
      <w:r>
        <w:t xml:space="preserve"> </w:t>
      </w:r>
      <w:r>
        <w:t xml:space="preserve">“eosc”</w:t>
      </w:r>
      <w:r>
        <w:t xml:space="preserve"> </w:t>
      </w:r>
      <w:r>
        <w:t xml:space="preserve">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w:t>
      </w:r>
      <w:r>
        <w:t xml:space="preserve"> </w:t>
      </w:r>
      <w:r>
        <w:t xml:space="preserve">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4"/>
    <w:bookmarkStart w:id="25"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w:t>
      </w:r>
      <w:r>
        <w:t xml:space="preserve">. Naming the</w:t>
      </w:r>
      <w:r>
        <w:t xml:space="preserve"> </w:t>
      </w:r>
      <w:r>
        <w:t xml:space="preserve">exact page turns</w:t>
      </w:r>
      <w:r>
        <w:t xml:space="preserve"> </w:t>
      </w:r>
      <w:r>
        <w:t xml:space="preserve">“something is absent”</w:t>
      </w:r>
      <w:r>
        <w:t xml:space="preserve"> </w:t>
      </w:r>
      <w:r>
        <w:t xml:space="preserve">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w:t>
      </w:r>
      <w:r>
        <w:t xml:space="preserve"> </w:t>
      </w:r>
      <w:r>
        <w:t xml:space="preserve">“Navigation &amp; Legal”</w:t>
      </w:r>
      <w:r>
        <w:t xml:space="preserve"> </w:t>
      </w:r>
      <w:r>
        <w:t xml:space="preserve">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5"/>
    <w:bookmarkStart w:id="26"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w:t>
      </w:r>
      <w:r>
        <w:t xml:space="preserve">. Under v3.2 they must be accessible</w:t>
      </w:r>
      <w:r>
        <w:t xml:space="preserve"> </w:t>
      </w:r>
      <w:r>
        <w:t xml:space="preserve">“both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w:t>
      </w:r>
      <w:r>
        <w:t xml:space="preserve">, which the document spells out as: present</w:t>
      </w:r>
      <w:r>
        <w:t xml:space="preserve"> </w:t>
      </w:r>
      <w:r>
        <w:t xml:space="preserve">“for each resource in the</w:t>
      </w:r>
      <w:r>
        <w:t xml:space="preserve"> </w:t>
      </w:r>
      <w:r>
        <w:t xml:space="preserve">EOSC Exchange, both on the NLP itself (or on pages linked by the NLP web page)</w:t>
      </w:r>
      <w:r>
        <w:t xml:space="preserve"> </w:t>
      </w:r>
      <w:r>
        <w:t xml:space="preserve">and in the Metadata about the Resource in the Node Catalogue”</w:t>
      </w:r>
      <w:r>
        <w:t xml:space="preserve">. This is the</w:t>
      </w:r>
      <w:r>
        <w:t xml:space="preserve"> </w:t>
      </w:r>
      <w:r>
        <w:t xml:space="preserve">wording of v3.2 as re-issued on 29 September 2026; the first copy said</w:t>
      </w:r>
      <w:r>
        <w:t xml:space="preserve"> </w:t>
      </w:r>
      <w:r>
        <w:t xml:space="preserve">“directly on the NLP”</w:t>
      </w:r>
      <w:r>
        <w:t xml:space="preserve"> </w:t>
      </w:r>
      <w:r>
        <w:t xml:space="preserve">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6"/>
    <w:bookmarkStart w:id="27"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w:t>
      </w:r>
      <w:r>
        <w:t xml:space="preserve"> </w:t>
      </w:r>
      <w:r>
        <w:t xml:space="preserve">“all Node Exchange research resources</w:t>
      </w:r>
      <w:r>
        <w:t xml:space="preserve"> </w:t>
      </w:r>
      <w:r>
        <w:t xml:space="preserve">offered by the Node”</w:t>
      </w:r>
      <w:r>
        <w:t xml:space="preserv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7"/>
    <w:bookmarkStart w:id="28"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w:t>
            </w:r>
            <w:r>
              <w:t xml:space="preserve"> </w:t>
            </w:r>
            <w:r>
              <w:t xml:space="preserve">“a pointer, not a verified document”</w:t>
            </w:r>
            <w:r>
              <w:t xml:space="preserve">, with the reason: depth 0, a PDF or other document, a cap reached, another site, or not selected at collection</w:t>
            </w:r>
          </w:p>
        </w:tc>
      </w:tr>
      <w:t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w:t>
      </w:r>
      <w:r>
        <w:t xml:space="preserve"> </w:t>
      </w:r>
      <w:r>
        <w:t xml:space="preserve">“Linked pages read”</w:t>
      </w:r>
      <w:r>
        <w:t xml:space="preserve"> </w:t>
      </w:r>
      <w:r>
        <w:t xml:space="preserve">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w:t>
            </w:r>
            <w:r>
              <w:t xml:space="preserve"> </w:t>
            </w:r>
            <w:r>
              <w:t xml:space="preserve">“via intermediate web pages linked by the NLP”</w:t>
            </w:r>
            <w:r>
              <w:t xml:space="preserve">; the evidence names the intermediate page, and the message says whether the policy page itself was fetched</w:t>
            </w:r>
          </w:p>
        </w:tc>
      </w:tr>
      <w:t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w:t>
            </w:r>
            <w:r>
              <w:t xml:space="preserve"> </w:t>
            </w:r>
            <w:r>
              <w:t xml:space="preserve">“AUP and UAP can be provided through the same, single document”</w:t>
            </w:r>
          </w:p>
        </w:tc>
      </w:tr>
      <w:t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w:t>
            </w:r>
            <w:r>
              <w:t xml:space="preserve"> </w:t>
            </w:r>
            <w:r>
              <w:t xml:space="preserve">“AUP/UAP can be provided via specific product licenses in the case of datasets, archives, software”</w:t>
            </w:r>
          </w:p>
        </w:tc>
      </w:tr>
      <w:t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w:t>
            </w:r>
            <w:r>
              <w:t xml:space="preserve"> </w:t>
            </w:r>
            <w:r>
              <w:t xml:space="preserve">“not read”</w:t>
            </w:r>
          </w:p>
        </w:tc>
      </w:tr>
      <w:t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w:t>
      </w:r>
      <w:r>
        <w:t xml:space="preserve"> </w:t>
      </w:r>
      <w:r>
        <w:t xml:space="preserve">pointing at a 404 satisfies</w:t>
      </w:r>
      <w:r>
        <w:t xml:space="preserve"> </w:t>
      </w:r>
      <w:r>
        <w:t xml:space="preserve">“there is a link”</w:t>
      </w:r>
      <w:r>
        <w:t xml:space="preserve"> </w:t>
      </w:r>
      <w:r>
        <w:t xml:space="preserve">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w:t>
      </w:r>
      <w:r>
        <w:t xml:space="preserve"> </w:t>
      </w:r>
      <w:r>
        <w:t xml:space="preserve">“Infrastructure</w:t>
      </w:r>
      <w:r>
        <w:t xml:space="preserve"> </w:t>
      </w:r>
      <w:r>
        <w:t xml:space="preserve">AUP/UAP”</w:t>
      </w:r>
      <w:r>
        <w:t xml:space="preserve"> </w:t>
      </w:r>
      <w:r>
        <w:t xml:space="preserve">to a working policy page and</w:t>
      </w:r>
      <w:r>
        <w:t xml:space="preserve"> </w:t>
      </w:r>
      <w:r>
        <w:t xml:space="preserve">“Review resource access conditions”</w:t>
      </w:r>
      <w:r>
        <w:t xml:space="preserve"> </w:t>
      </w:r>
      <w:r>
        <w:t xml:space="preserve">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w:t>
      </w:r>
      <w:r>
        <w:t xml:space="preserve"> </w:t>
      </w:r>
      <w:r>
        <w:t xml:space="preserve">“policy wording”</w:t>
      </w:r>
      <w:r>
        <w:t xml:space="preserve"> </w:t>
      </w:r>
      <w:r>
        <w:t xml:space="preserve">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w:t>
      </w:r>
      <w:r>
        <w:t xml:space="preserve"> </w:t>
      </w:r>
      <w:r>
        <w:t xml:space="preserve">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w:t>
      </w:r>
      <w:r>
        <w:t xml:space="preserve"> </w:t>
      </w:r>
      <w:r>
        <w:t xml:space="preserve">“AUP and UAP do not necessarily need to be</w:t>
      </w:r>
      <w:r>
        <w:t xml:space="preserve"> </w:t>
      </w:r>
      <w:r>
        <w:t xml:space="preserve">unique per service”</w:t>
      </w:r>
      <w:r>
        <w:t xml:space="preserve"> </w:t>
      </w:r>
      <w:r>
        <w:t xml:space="preserve">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w:t>
      </w:r>
      <w:r>
        <w:t xml:space="preserve">“directly on the NLP”</w:t>
      </w:r>
      <w:r>
        <w:t xml:space="preserve">),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w:t>
      </w:r>
      <w:r>
        <w:t xml:space="preserve"> </w:t>
      </w:r>
      <w:r>
        <w:t xml:space="preserve">“Services”</w:t>
      </w:r>
      <w:r>
        <w:t xml:space="preserve"> </w:t>
      </w:r>
      <w:r>
        <w:t xml:space="preserve">and</w:t>
      </w:r>
      <w:r>
        <w:t xml:space="preserve"> </w:t>
      </w:r>
      <w:r>
        <w:t xml:space="preserve">“Policies”</w:t>
      </w:r>
      <w:r>
        <w:t xml:space="preserve">,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w:t>
      </w:r>
      <w:r>
        <w:t xml:space="preserve"> </w:t>
      </w:r>
      <w:r>
        <w:t xml:space="preserve">“Acceptable Use Policy of BBMRI-ERIC</w:t>
      </w:r>
      <w:r>
        <w:t xml:space="preserve"> </w:t>
      </w:r>
      <w:r>
        <w:t xml:space="preserve">Services”</w:t>
      </w:r>
      <w:r>
        <w:t xml:space="preserve">.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w:t>
      </w:r>
      <w:r>
        <w:t xml:space="preserve"> </w:t>
      </w:r>
      <w:r>
        <w:t xml:space="preserve">“Policies”</w:t>
      </w:r>
      <w:r>
        <w:t xml:space="preserve"> </w:t>
      </w:r>
      <w:r>
        <w:t xml:space="preserve">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w:t>
      </w:r>
      <w:r>
        <w:t xml:space="preserve"> </w:t>
      </w:r>
      <w:r>
        <w:t xml:space="preserve">“Acceptable User Policy and User Access Policy”</w:t>
      </w:r>
      <w:r>
        <w:t xml:space="preserve"> </w:t>
      </w:r>
      <w:r>
        <w:t xml:space="preserve">to a user-policies page: 5c passes by branch 5, and 5b is review by branch 7, because</w:t>
      </w:r>
      <w:r>
        <w:t xml:space="preserve"> </w:t>
      </w:r>
      <w:r>
        <w:t xml:space="preserve">“Acceptable User Policy”</w:t>
      </w:r>
      <w:r>
        <w:t xml:space="preserve"> </w:t>
      </w:r>
      <w:r>
        <w:t xml:space="preserve">does not match the AUP vocabulary.</w:t>
      </w:r>
    </w:p>
    <w:p>
      <w:r>
        <w:pict>
          <v:rect style="width:0;height:1.5pt" o:hralign="center" o:hrstd="t" o:hr="t"/>
        </w:pict>
      </w:r>
    </w:p>
    <w:bookmarkEnd w:id="28"/>
    <w:bookmarkStart w:id="29"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w:t>
      </w:r>
      <w:r>
        <w:t xml:space="preserve"> </w:t>
      </w:r>
      <w:r>
        <w:t xml:space="preserve">“support”</w:t>
      </w:r>
      <w:r>
        <w:t xml:space="preserve"> </w:t>
      </w:r>
      <w:r>
        <w:t xml:space="preserve">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w:t>
      </w:r>
      <w:r>
        <w:t xml:space="preserve"> </w:t>
      </w:r>
      <w:r>
        <w:t xml:space="preserve">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Contact or bare</w:t>
            </w:r>
            <w:r>
              <w:t xml:space="preserve"> </w:t>
            </w:r>
            <w:r>
              <w:t xml:space="preserve">“support”</w:t>
            </w:r>
            <w:r>
              <w:t xml:space="preserve"> </w:t>
            </w:r>
            <w:r>
              <w:t xml:space="preserve">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c>
          <w:tcPr/>
          <w:p>
            <w:pPr>
              <w:pStyle w:val="Compact"/>
            </w:pPr>
            <w:r>
              <w:t xml:space="preserve">3</w:t>
            </w:r>
          </w:p>
        </w:tc>
        <w:tc>
          <w:tcPr/>
          <w:p>
            <w:pPr>
              <w:pStyle w:val="Compact"/>
            </w:pPr>
            <w:r>
              <w:t xml:space="preserve">Contact or bare</w:t>
            </w:r>
            <w:r>
              <w:t xml:space="preserve"> </w:t>
            </w:r>
            <w:r>
              <w:t xml:space="preserve">“support”</w:t>
            </w:r>
            <w:r>
              <w:t xml:space="preserve"> </w:t>
            </w:r>
            <w:r>
              <w:t xml:space="preserve">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w:t>
            </w:r>
            <w:r>
              <w:t xml:space="preserve"> </w:t>
            </w:r>
            <w:r>
              <w:t xml:space="preserve">“support”</w:t>
            </w:r>
            <w:r>
              <w:t xml:space="preserve"> </w:t>
            </w:r>
            <w:r>
              <w:t xml:space="preserve">label was the only lead, and lists addresses and links not followed</w:t>
            </w:r>
          </w:p>
        </w:tc>
      </w:tr>
      <w:t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w:t>
      </w:r>
      <w:r>
        <w:t xml:space="preserve"> </w:t>
      </w:r>
      <w:r>
        <w:t xml:space="preserve">“Contact”</w:t>
      </w:r>
      <w:r>
        <w:t xml:space="preserve"> </w:t>
      </w:r>
      <w:r>
        <w:t xml:space="preserve">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29"/>
    <w:bookmarkStart w:id="30"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0"/>
    <w:bookmarkEnd w:id="31"/>
    <w:bookmarkStart w:id="32"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w:t>
      </w:r>
      <w:r>
        <w:t xml:space="preserve"> </w:t>
      </w:r>
      <w:r>
        <w:t xml:space="preserve">“eosc”</w:t>
      </w:r>
      <w:r>
        <w:t xml:space="preserve"> </w:t>
      </w:r>
      <w:r>
        <w:t xml:space="preserve">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w:t>
      </w:r>
      <w:r>
        <w:t xml:space="preserve"> </w:t>
      </w:r>
      <w:r>
        <w:t xml:space="preserve">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w:t>
      </w:r>
      <w:r>
        <w:t xml:space="preserve"> </w:t>
      </w:r>
      <w:r>
        <w:t xml:space="preserve">“eosc”</w:t>
      </w:r>
      <w:r>
        <w:t xml:space="preserve"> </w:t>
      </w:r>
      <w:r>
        <w:t xml:space="preserve">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w:t>
      </w:r>
      <w:r>
        <w:t xml:space="preserve"> </w:t>
      </w:r>
      <w:r>
        <w:t xml:space="preserve">to</w:t>
      </w:r>
      <w:r>
        <w:t xml:space="preserve"> </w:t>
      </w:r>
      <w:r>
        <w:t xml:space="preserve">“none found”</w:t>
      </w:r>
      <w:r>
        <w:t xml:space="preserve">.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w:t>
      </w:r>
      <w:r>
        <w:t xml:space="preserve"> </w:t>
      </w:r>
      <w:r>
        <w:t xml:space="preserve">“strat</w:t>
      </w:r>
      <w:r>
        <w:rPr>
          <w:b/>
          <w:bCs/>
        </w:rPr>
        <w:t xml:space="preserve">egi</w:t>
      </w:r>
      <w:r>
        <w:t xml:space="preserve">c”</w:t>
      </w:r>
      <w:r>
        <w:t xml:space="preserve">) and on Data</w:t>
      </w:r>
      <w:r>
        <w:t xml:space="preserve"> </w:t>
      </w:r>
      <w:r>
        <w:t xml:space="preserve">Terra (inside</w:t>
      </w:r>
      <w:r>
        <w:t xml:space="preserve"> </w:t>
      </w:r>
      <w:r>
        <w:t xml:space="preserve">“Norw</w:t>
      </w:r>
      <w:r>
        <w:rPr>
          <w:b/>
          <w:bCs/>
        </w:rPr>
        <w:t xml:space="preserve">egi</w:t>
      </w:r>
      <w:r>
        <w:t xml:space="preserve">an”</w:t>
      </w:r>
      <w:r>
        <w:t xml:space="preserve">),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2"/>
    <w:bookmarkStart w:id="33"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w:t>
      </w:r>
      <w:r>
        <w:t xml:space="preserve"> </w:t>
      </w:r>
      <w:r>
        <w:t xml:space="preserve">“Evidence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3"/>
    <w:bookmarkStart w:id="40"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34">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“Checking a page not in</w:t>
      </w:r>
      <w:r>
        <w:t xml:space="preserve"> </w:t>
      </w:r>
      <w:r>
        <w:rPr>
          <w:rStyle w:val="VerbatimChar"/>
        </w:rPr>
        <w:t xml:space="preserve">nodes.yaml</w:t>
      </w:r>
      <w:r>
        <w:t xml:space="preserve">”</w:t>
      </w:r>
      <w:r>
        <w:t xml:space="preserve"> </w:t>
      </w:r>
      <w:r>
        <w:t xml:space="preserve">in the</w:t>
      </w:r>
      <w:r>
        <w:t xml:space="preserve"> </w:t>
      </w:r>
      <w:hyperlink r:id="rId34">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w:t>
      </w:r>
      <w:r>
        <w:t xml:space="preserve">“130 cells: 68 PASS · 0 FAIL · 62 review”</w:t>
      </w:r>
      <w:r>
        <w:t xml:space="preserve">);</w:t>
      </w:r>
    </w:p>
    <w:p>
      <w:pPr>
        <w:pStyle w:val="Compact"/>
        <w:numPr>
          <w:ilvl w:val="0"/>
          <w:numId w:val="1016"/>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6"/>
    <w:bookmarkStart w:id="3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7"/>
    <w:bookmarkStart w:id="3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8">
        <w:r>
          <w:rPr>
            <w:rStyle w:val="Hyperlink"/>
            <w:i/>
            <w:iCs/>
          </w:rPr>
          <w:t xml:space="preserve">https://github.com/marioreale/eosc-basic-compliance</w:t>
        </w:r>
      </w:hyperlink>
      <w:r>
        <w:rPr>
          <w:i/>
          <w:iCs/>
        </w:rPr>
        <w:t xml:space="preserve">.</w:t>
      </w:r>
    </w:p>
    <w:bookmarkEnd w:id="39"/>
    <w:bookmarkEnd w:id="40"/>
    <w:sectPr>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2026-10-06T10:45:44Z</dcterms:created>
  <dcterms:modified xsi:type="dcterms:W3CDTF">2026-10-06T10:45:44Z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evening (checklist v3.2) — built from the Markdown guides in the same commit</vt:lpwstr>
  </property>
  <property fmtid="{D5CDD505-2E9C-101B-9397-08002B2CF9AE}" pid="3" name="subtitle">
    <vt:lpwstr>What the test suite does, step by step, for every checklist requirement</vt:lpwstr>
  </property>
</Properties>
</file>