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5p</w:t>
            </w:r>
          </w:p>
        </w:tc>
        <w:tc>
          <w:tcPr/>
          <w:p>
            <w:pPr>
              <w:pStyle w:val="Compact"/>
            </w:pPr>
            <w:r>
              <w:t xml:space="preserve">policy/policies (not privacy, cookie or "policy makers"), legal, terms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t xml:space="preserve">service/services, catalog/catalogue, resource/resources</w:t>
            </w:r>
          </w:p>
        </w:tc>
      </w:tr>
    </w:tbl>
    <w:p>
      <w:pPr>
        <w:numPr>
          <w:ilvl w:val="0"/>
          <w:numId w:val="1000"/>
        </w:numPr>
      </w:pPr>
      <w:r>
        <w:t xml:space="preserve">Purposes 5p and 5s are not checklist points. They exist because v3.2 accepts</w:t>
      </w:r>
      <w:r>
        <w:t xml:space="preserve"> </w:t>
      </w:r>
      <w:r>
        <w:t xml:space="preserve">the AUP and UAP "via intermediate web pages linked by the NLP": a page</w:t>
      </w:r>
      <w:r>
        <w:t xml:space="preserve"> </w:t>
      </w:r>
      <w:r>
        <w:t xml:space="preserve">fetched for them is read by 5b and 5c for policy links. They come last, so a</w:t>
      </w:r>
      <w:r>
        <w:t xml:space="preserve"> </w:t>
      </w:r>
      <w:r>
        <w:t xml:space="preserve">per-node cap drops them before a link that settles a point, and a link</w:t>
      </w:r>
      <w:r>
        <w:t xml:space="preserve"> </w:t>
      </w:r>
      <w:r>
        <w:t xml:space="preserve">already chosen for another purpose is not tagged with them. They are looked</w:t>
      </w:r>
      <w:r>
        <w:t xml:space="preserve"> </w:t>
      </w:r>
      <w:r>
        <w:t xml:space="preserve">for on the landing page only, never at depth 2: in run</w:t>
      </w:r>
      <w:r>
        <w:t xml:space="preserve"> </w:t>
      </w:r>
      <w:r>
        <w:rPr>
          <w:rStyle w:val="VerbatimChar"/>
        </w:rPr>
        <w:t xml:space="preserve">web-14</w:t>
      </w:r>
      <w:r>
        <w:t xml:space="preserve"> </w:t>
      </w:r>
      <w:r>
        <w:t xml:space="preserve">looking for</w:t>
      </w:r>
      <w:r>
        <w:t xml:space="preserve"> </w:t>
      </w:r>
      <w:r>
        <w:t xml:space="preserve">them at the second hop too used the whole fetch budget. A link is excluded</w:t>
      </w:r>
      <w:r>
        <w:t xml:space="preserve"> </w:t>
      </w:r>
      <w:r>
        <w:t xml:space="preserve">from 5p when its label or address mentions privacy or cookies.</w:t>
      </w:r>
    </w:p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on the NLP presenting the</w:t>
      </w:r>
      <w:r>
        <w:t xml:space="preserve"> </w:t>
      </w:r>
      <w:r>
        <w:t xml:space="preserve">resource to the users (directly on the NLP itself or via intermediate web pages</w:t>
      </w:r>
      <w:r>
        <w:t xml:space="preserve"> </w:t>
      </w:r>
      <w:r>
        <w:t xml:space="preserve">linked by the NLP) and via the link to the resource's entry in the EOSC</w:t>
      </w:r>
      <w:r>
        <w:t xml:space="preserve"> </w:t>
      </w:r>
      <w:r>
        <w:t xml:space="preserve">Catalogue", which the document spells out as: present "for each resource in the</w:t>
      </w:r>
      <w:r>
        <w:t xml:space="preserve"> </w:t>
      </w:r>
      <w:r>
        <w:t xml:space="preserve">EOSC Exchange, both on the NLP itself (or on pages linked by the NLP web page)</w:t>
      </w:r>
      <w:r>
        <w:t xml:space="preserve"> </w:t>
      </w:r>
      <w:r>
        <w:t xml:space="preserve">and in the Metadata about the Resource in the Node Catalogue". This is the</w:t>
      </w:r>
      <w:r>
        <w:t xml:space="preserve"> </w:t>
      </w:r>
      <w:r>
        <w:t xml:space="preserve">wording of v3.2 as re-issued on 29 September 2026; the first copy said</w:t>
      </w:r>
      <w:r>
        <w:t xml:space="preserve"> </w:t>
      </w:r>
      <w:r>
        <w:t xml:space="preserve">"directly on the NLP" only, and is discarded.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(directly or on a</w:t>
      </w:r>
      <w:r>
        <w:t xml:space="preserve"> </w:t>
      </w:r>
      <w:r>
        <w:t xml:space="preserve">page it links to) and in the 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order. "Linked pages read" are the</w:t>
      </w:r>
      <w:r>
        <w:t xml:space="preserve"> </w:t>
      </w:r>
      <w:r>
        <w:t xml:space="preserve">child pages (depth 1 and 2) that returned 2xx, whatever purpose they were</w:t>
      </w:r>
      <w:r>
        <w:t xml:space="preserve"> </w:t>
      </w:r>
      <w:r>
        <w:t xml:space="preserve">fetched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titled as the policy and reads like one), and that link, if fetched, is broken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the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"via intermediate web pages linked by the NLP"; the evidence names the intermediate page, and the message says whether the policy page itself was fetched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landing page or a linked page read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landing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landing page links, on its own site, to a policies, legal, terms, services, catalogue or resources page (</w:t>
            </w:r>
            <w:r>
              <w:rPr>
                <w:rStyle w:val="VerbatimChar"/>
              </w:rPr>
              <w:t xml:space="preserve">POLICY_INDEX_PATTERNS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SERVICE_INDEX_PATTERNS</w:t>
            </w:r>
            <w:r>
              <w:t xml:space="preserve">) that was</w:t>
            </w:r>
            <w:r>
              <w:t xml:space="preserve"> </w:t>
            </w:r>
            <w:r>
              <w:rPr>
                <w:b/>
                <w:bCs/>
              </w:rPr>
              <w:t xml:space="preserve">not 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pointers may be there; the evidence lists up to three such links as "not read"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on the landing page nor on any linked page read, and no candidate page left unread.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</w:t>
            </w:r>
          </w:p>
        </w:tc>
      </w:tr>
    </w:tbl>
    <w:p>
      <w:pPr>
        <w:pStyle w:val="BodyText"/>
      </w:pPr>
      <w:r>
        <w:t xml:space="preserve">Branch 10 is what keeps the new rule honest. The checklist accepts any page the</w:t>
      </w:r>
      <w:r>
        <w:t xml:space="preserve"> </w:t>
      </w:r>
      <w:r>
        <w:t xml:space="preserve">NLP links to, and the tool reads at most eight;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asserts that the</w:t>
      </w:r>
      <w:r>
        <w:t xml:space="preserve"> </w:t>
      </w:r>
      <w:r>
        <w:t xml:space="preserve">policy is nowhere the tool could reasonably look, so an unread policies or</w:t>
      </w:r>
      <w:r>
        <w:t xml:space="preserve"> </w:t>
      </w:r>
      <w:r>
        <w:t xml:space="preserve">services page makes it review. Pages on other sites are not candidates, as for</w:t>
      </w:r>
      <w:r>
        <w:t xml:space="preserve"> </w:t>
      </w:r>
      <w:r>
        <w:t xml:space="preserve">the crawl.</w:t>
      </w:r>
    </w:p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11).</w:t>
      </w:r>
      <w:r>
        <w:t xml:space="preserve"> </w:t>
      </w:r>
      <w:r>
        <w:t xml:space="preserve">The exceptions in v3.2 branches 7 and 8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NLP, or from a page it</w:t>
      </w:r>
      <w:r>
        <w:t xml:space="preserve"> </w:t>
      </w:r>
      <w:r>
        <w:t xml:space="preserve">links to, satisfies the NLP half for every resource: the tool does not ask for one link per resource.</w:t>
      </w:r>
    </w:p>
    <w:p>
      <w:pPr>
        <w:pStyle w:val="BodyText"/>
      </w:pPr>
      <w:r>
        <w:t xml:space="preserve">What the rule changed on the published evidence. Under the first copy of v3.2</w:t>
      </w:r>
      <w:r>
        <w:t xml:space="preserve"> </w:t>
      </w:r>
      <w:r>
        <w:t xml:space="preserve">("directly on the NLP"),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a</w:t>
      </w:r>
      <w:r>
        <w:t xml:space="preserve"> </w:t>
      </w:r>
      <w:r>
        <w:t xml:space="preserve">licence; runs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confirmed it. Under the re-issued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re-scored as</w:t>
      </w:r>
      <w:r>
        <w:t xml:space="preserve"> </w:t>
      </w:r>
      <w:r>
        <w:rPr>
          <w:rStyle w:val="VerbatimChar"/>
        </w:rPr>
        <w:t xml:space="preserve">web-13-rescored</w:t>
      </w:r>
      <w:r>
        <w:t xml:space="preserve">, without contacting any node), those</w:t>
      </w:r>
      <w:r>
        <w:t xml:space="preserve"> </w:t>
      </w:r>
      <w:r>
        <w:t xml:space="preserve">six cells are review again, now by branch 10: each landing page links to a</w:t>
      </w:r>
      <w:r>
        <w:t xml:space="preserve"> </w:t>
      </w:r>
      <w:r>
        <w:t xml:space="preserve">services or policies page that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did not read (CERN's "Services" and</w:t>
      </w:r>
      <w:r>
        <w:t xml:space="preserve"> </w:t>
      </w:r>
      <w:r>
        <w:t xml:space="preserve">"Policies", for instance). BBMRI-ERIC's 5b moved from review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by branch</w:t>
      </w:r>
      <w:r>
        <w:t xml:space="preserve"> </w:t>
      </w:r>
      <w:r>
        <w:t xml:space="preserve">6b: its Access Policies page links the "Acceptable Use Policy of BBMRI-ERIC</w:t>
      </w:r>
      <w:r>
        <w:t xml:space="preserve"> </w:t>
      </w:r>
      <w:r>
        <w:t xml:space="preserve">Services". Every other cell is unchanged: seven nodes link one of the two</w:t>
      </w:r>
      <w:r>
        <w:t xml:space="preserve"> </w:t>
      </w:r>
      <w:r>
        <w:t xml:space="preserve">policies and get review on the other (branch 7), Slovakia links one document</w:t>
      </w:r>
      <w:r>
        <w:t xml:space="preserve"> </w:t>
      </w:r>
      <w:r>
        <w:t xml:space="preserve">labelled as both, and GÉANT's page was not served (branch 9). Run</w:t>
      </w:r>
      <w:r>
        <w:t xml:space="preserve"> </w:t>
      </w:r>
      <w:r>
        <w:rPr>
          <w:rStyle w:val="VerbatimChar"/>
        </w:rPr>
        <w:t xml:space="preserve">web-14</w:t>
      </w:r>
      <w:r>
        <w:t xml:space="preserve">,</w:t>
      </w:r>
      <w:r>
        <w:t xml:space="preserve"> </w:t>
      </w:r>
      <w:r>
        <w:t xml:space="preserve">the first collection under the re-issued v3.2, read those pages: CERN's 5b and</w:t>
      </w:r>
      <w:r>
        <w:t xml:space="preserve"> </w:t>
      </w:r>
      <w:r>
        <w:t xml:space="preserve">5c pass by branch 6b (its "Policies" page links both policies, which were</w:t>
      </w:r>
      <w:r>
        <w:t xml:space="preserve"> </w:t>
      </w:r>
      <w:r>
        <w:t xml:space="preserve">fetched), Data Terra's fail by branch 11 (its two services pages were read and</w:t>
      </w:r>
      <w:r>
        <w:t xml:space="preserve"> </w:t>
      </w:r>
      <w:r>
        <w:t xml:space="preserve">link neither; they are in French, which the English vocabulary does not</w:t>
      </w:r>
      <w:r>
        <w:t xml:space="preserve"> </w:t>
      </w:r>
      <w:r>
        <w:t xml:space="preserve">cover), and PaNOSC's stay review by branch 10 (its services site was not</w:t>
      </w:r>
      <w:r>
        <w:t xml:space="preserve"> </w:t>
      </w:r>
      <w:r>
        <w:t xml:space="preserve">read).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52 PASS · 10 FAIL · 68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2026-09-29T00:02:53Z</dcterms:created>
  <dcterms:modified xsi:type="dcterms:W3CDTF">2026-09-29T00:02:53Z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